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48497" w14:textId="77777777" w:rsidR="00EA0590" w:rsidRPr="000876B1" w:rsidRDefault="00EA0590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0BCF79B6" w14:textId="77777777" w:rsidR="00EA0590" w:rsidRPr="00596D03" w:rsidRDefault="00EA0590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14:paraId="317D0154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789"/>
        <w:gridCol w:w="10"/>
        <w:gridCol w:w="3239"/>
        <w:gridCol w:w="720"/>
        <w:gridCol w:w="900"/>
        <w:gridCol w:w="2520"/>
        <w:gridCol w:w="540"/>
        <w:gridCol w:w="521"/>
      </w:tblGrid>
      <w:tr w:rsidR="00EA0590" w:rsidRPr="0082465B" w14:paraId="2364930B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23A8AE90" w14:textId="77777777" w:rsidR="00EA0590" w:rsidRPr="0082465B" w:rsidRDefault="00EA0590" w:rsidP="0041648B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193D82E3" w14:textId="77777777" w:rsidR="00EA0590" w:rsidRPr="0082465B" w:rsidRDefault="00EA0590" w:rsidP="0041648B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RS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67D2F742" w14:textId="77777777" w:rsidR="00EA0590" w:rsidRPr="0082465B" w:rsidRDefault="00EA0590" w:rsidP="0041648B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4A1D7BB4" w14:textId="77777777" w:rsidTr="0041648B">
        <w:trPr>
          <w:trHeight w:val="17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6469CE5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C7D7B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681F86A6" w14:textId="77777777" w:rsidR="00EA0590" w:rsidRPr="0082465B" w:rsidRDefault="00EA0590" w:rsidP="0041648B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436500A3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F6C3C0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6"/>
            <w:vAlign w:val="center"/>
          </w:tcPr>
          <w:p w14:paraId="59C05AB7" w14:textId="2E26765A" w:rsidR="00EA0590" w:rsidRPr="0082465B" w:rsidRDefault="00D8685A" w:rsidP="0041648B">
            <w:pPr>
              <w:rPr>
                <w:lang w:val="ru-RU"/>
              </w:rPr>
            </w:pPr>
            <w:r>
              <w:rPr>
                <w:lang w:val="sr-Cyrl-RS"/>
              </w:rPr>
              <w:t>Кртолица Предраг Мирјана</w:t>
            </w:r>
          </w:p>
        </w:tc>
      </w:tr>
      <w:tr w:rsidR="00EA0590" w:rsidRPr="0082465B" w14:paraId="7AD2EBB5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D6451C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6"/>
            <w:vAlign w:val="center"/>
          </w:tcPr>
          <w:p w14:paraId="7B25F91E" w14:textId="4A90A9C7" w:rsidR="00EA0590" w:rsidRPr="0082465B" w:rsidRDefault="00072DE3" w:rsidP="0041648B">
            <w:pPr>
              <w:rPr>
                <w:lang w:val="ru-RU"/>
              </w:rPr>
            </w:pPr>
            <w:r>
              <w:rPr>
                <w:lang w:val="ru-RU"/>
              </w:rPr>
              <w:t>02.08.1993. Ниш</w:t>
            </w:r>
          </w:p>
        </w:tc>
      </w:tr>
      <w:tr w:rsidR="00EA0590" w:rsidRPr="0082465B" w14:paraId="6647F3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8A969AE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EA0590" w:rsidRPr="0082465B" w14:paraId="5EC6EB3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1548328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2388EB1" w14:textId="3B51511B" w:rsidR="00EA0590" w:rsidRPr="0082465B" w:rsidRDefault="007E16A1" w:rsidP="0041648B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EA0590" w:rsidRPr="0082465B" w14:paraId="4E826CB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039E7A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877FF1B" w14:textId="2205D50C" w:rsidR="00EA0590" w:rsidRPr="0082465B" w:rsidRDefault="007E16A1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741CBB35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90EA3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E761BFE" w14:textId="35D1B628" w:rsidR="00EA0590" w:rsidRPr="0082465B" w:rsidRDefault="007E16A1" w:rsidP="0041648B">
            <w:pPr>
              <w:rPr>
                <w:lang w:val="ru-RU"/>
              </w:rPr>
            </w:pPr>
            <w:r>
              <w:rPr>
                <w:lang w:val="ru-RU"/>
              </w:rPr>
              <w:t>Србистика</w:t>
            </w:r>
          </w:p>
        </w:tc>
      </w:tr>
      <w:tr w:rsidR="00EA0590" w:rsidRPr="0082465B" w14:paraId="56A10696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D46DB9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7262E2BB" w14:textId="56A75E26" w:rsidR="00EA0590" w:rsidRPr="0082465B" w:rsidRDefault="007E16A1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Дипломирани филолог </w:t>
            </w:r>
          </w:p>
        </w:tc>
      </w:tr>
      <w:tr w:rsidR="00EA0590" w:rsidRPr="0082465B" w14:paraId="012D331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A867CA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14685262" w14:textId="6843F727" w:rsidR="00EA0590" w:rsidRPr="0082465B" w:rsidRDefault="00D243AC" w:rsidP="0041648B">
            <w:pPr>
              <w:rPr>
                <w:lang w:val="ru-RU"/>
              </w:rPr>
            </w:pPr>
            <w:r>
              <w:rPr>
                <w:lang w:val="ru-RU"/>
              </w:rPr>
              <w:t>2012.</w:t>
            </w:r>
          </w:p>
        </w:tc>
      </w:tr>
      <w:tr w:rsidR="00EA0590" w:rsidRPr="0082465B" w14:paraId="469BD8AD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E0D1F98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1881CCD5" w14:textId="6E445CA2" w:rsidR="00EA0590" w:rsidRPr="0082465B" w:rsidRDefault="00D243AC" w:rsidP="0041648B">
            <w:pPr>
              <w:rPr>
                <w:lang w:val="ru-RU"/>
              </w:rPr>
            </w:pPr>
            <w:r>
              <w:rPr>
                <w:lang w:val="ru-RU"/>
              </w:rPr>
              <w:t>2017.</w:t>
            </w:r>
          </w:p>
        </w:tc>
      </w:tr>
      <w:tr w:rsidR="00EA0590" w:rsidRPr="0082465B" w14:paraId="4858AA94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3D441C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60EB924E" w14:textId="07626FBA" w:rsidR="00EA0590" w:rsidRPr="0082465B" w:rsidRDefault="00D243AC" w:rsidP="0041648B">
            <w:pPr>
              <w:rPr>
                <w:lang w:val="ru-RU"/>
              </w:rPr>
            </w:pPr>
            <w:r>
              <w:rPr>
                <w:lang w:val="ru-RU"/>
              </w:rPr>
              <w:t>8,98</w:t>
            </w:r>
          </w:p>
        </w:tc>
      </w:tr>
      <w:tr w:rsidR="00EA0590" w:rsidRPr="0082465B" w14:paraId="4396CA84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C94CD5B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  <w:lang w:val="sr-Cyrl-RS"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EA0590" w:rsidRPr="0082465B" w14:paraId="173453B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AE3F51C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663EEDC4" w14:textId="0166A0D6" w:rsidR="00EA0590" w:rsidRPr="0082465B" w:rsidRDefault="00013C2B" w:rsidP="0041648B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EA0590" w:rsidRPr="0082465B" w14:paraId="15EB524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D7B7ED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5BD301C" w14:textId="3600EE6B" w:rsidR="00EA0590" w:rsidRPr="0082465B" w:rsidRDefault="00013C2B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6A177EB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FC038CB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0C4FBD22" w14:textId="52DAF10B" w:rsidR="00EA0590" w:rsidRPr="0082465B" w:rsidRDefault="00451166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</w:tr>
      <w:tr w:rsidR="00EA0590" w:rsidRPr="0082465B" w14:paraId="29FD7E8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265299E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1DFA64E6" w14:textId="07882788" w:rsidR="00EA0590" w:rsidRPr="0082465B" w:rsidRDefault="00451166" w:rsidP="0041648B">
            <w:pPr>
              <w:rPr>
                <w:lang w:val="ru-RU"/>
              </w:rPr>
            </w:pPr>
            <w:r>
              <w:rPr>
                <w:lang w:val="ru-RU"/>
              </w:rPr>
              <w:t>Мастер филолог</w:t>
            </w:r>
          </w:p>
        </w:tc>
      </w:tr>
      <w:tr w:rsidR="00EA0590" w:rsidRPr="0082465B" w14:paraId="2FE0C57D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EB087B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5FB14CEB" w14:textId="242222FF" w:rsidR="00EA0590" w:rsidRPr="0082465B" w:rsidRDefault="008B010E" w:rsidP="0041648B">
            <w:pPr>
              <w:rPr>
                <w:lang w:val="ru-RU"/>
              </w:rPr>
            </w:pPr>
            <w:r>
              <w:rPr>
                <w:lang w:val="ru-RU"/>
              </w:rPr>
              <w:t>2017.</w:t>
            </w:r>
          </w:p>
        </w:tc>
      </w:tr>
      <w:tr w:rsidR="00EA0590" w:rsidRPr="0082465B" w14:paraId="44FA4F5A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05186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27856ED9" w14:textId="1CA2D3B6" w:rsidR="00EA0590" w:rsidRPr="0082465B" w:rsidRDefault="008B010E" w:rsidP="0041648B">
            <w:pPr>
              <w:rPr>
                <w:lang w:val="ru-RU"/>
              </w:rPr>
            </w:pPr>
            <w:r>
              <w:rPr>
                <w:lang w:val="ru-RU"/>
              </w:rPr>
              <w:t>2018.</w:t>
            </w:r>
          </w:p>
        </w:tc>
      </w:tr>
      <w:tr w:rsidR="00EA0590" w:rsidRPr="0082465B" w14:paraId="30D1049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1C3055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41B0A5AF" w14:textId="69D421D0" w:rsidR="00EA0590" w:rsidRPr="0082465B" w:rsidRDefault="008B010E" w:rsidP="0041648B">
            <w:pPr>
              <w:rPr>
                <w:lang w:val="ru-RU"/>
              </w:rPr>
            </w:pPr>
            <w:r>
              <w:rPr>
                <w:lang w:val="ru-RU"/>
              </w:rPr>
              <w:t>9,75</w:t>
            </w:r>
          </w:p>
        </w:tc>
      </w:tr>
      <w:tr w:rsidR="00EA0590" w:rsidRPr="0082465B" w14:paraId="37ABC214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A8E7EB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6"/>
            <w:vAlign w:val="center"/>
          </w:tcPr>
          <w:p w14:paraId="33D619E2" w14:textId="09B8A4D1" w:rsidR="00EA0590" w:rsidRPr="0082465B" w:rsidRDefault="00417EA6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Српска књижевност</w:t>
            </w:r>
          </w:p>
        </w:tc>
      </w:tr>
      <w:tr w:rsidR="00EA0590" w:rsidRPr="0082465B" w14:paraId="7D0E16E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3413DF9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6"/>
            <w:vAlign w:val="center"/>
          </w:tcPr>
          <w:p w14:paraId="08F368F4" w14:textId="5F0A02FA" w:rsidR="00EA0590" w:rsidRPr="00A17418" w:rsidRDefault="00A17418" w:rsidP="0041648B">
            <w:pPr>
              <w:rPr>
                <w:bCs/>
                <w:lang w:val="ru-RU"/>
              </w:rPr>
            </w:pPr>
            <w:r w:rsidRPr="00A17418">
              <w:rPr>
                <w:bCs/>
                <w:lang w:val="ru-RU"/>
              </w:rPr>
              <w:t>Лик госпође министарке у трансмедијалном контексту</w:t>
            </w:r>
          </w:p>
        </w:tc>
      </w:tr>
      <w:tr w:rsidR="00EA0590" w:rsidRPr="0082465B" w14:paraId="0CCBC6D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209199F3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EA0590" w:rsidRPr="0082465B" w14:paraId="0EC577B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097C52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9723E1B" w14:textId="20E60C3D" w:rsidR="00EA0590" w:rsidRPr="0082465B" w:rsidRDefault="00467425" w:rsidP="0041648B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EA0590" w:rsidRPr="0082465B" w14:paraId="5907BFC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88E679E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A2A04D3" w14:textId="6EF48864" w:rsidR="00EA0590" w:rsidRPr="0082465B" w:rsidRDefault="00467425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66FA410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9545CA8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4735114" w14:textId="081E7968" w:rsidR="00EA0590" w:rsidRPr="0082465B" w:rsidRDefault="00467425" w:rsidP="0041648B">
            <w:pPr>
              <w:rPr>
                <w:lang w:val="ru-RU"/>
              </w:rPr>
            </w:pPr>
            <w:r>
              <w:rPr>
                <w:lang w:val="ru-RU"/>
              </w:rPr>
              <w:t>Наука о књижевности</w:t>
            </w:r>
          </w:p>
        </w:tc>
      </w:tr>
      <w:tr w:rsidR="00EA0590" w:rsidRPr="0082465B" w14:paraId="0BD16458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99CD44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00886683" w14:textId="0E6F66CF" w:rsidR="00EA0590" w:rsidRPr="0082465B" w:rsidRDefault="00467425" w:rsidP="0041648B">
            <w:pPr>
              <w:rPr>
                <w:lang w:val="ru-RU"/>
              </w:rPr>
            </w:pPr>
            <w:r>
              <w:rPr>
                <w:lang w:val="ru-RU"/>
              </w:rPr>
              <w:t>2018.</w:t>
            </w:r>
          </w:p>
        </w:tc>
      </w:tr>
      <w:tr w:rsidR="00EA0590" w:rsidRPr="0082465B" w14:paraId="5377029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B0332A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6"/>
            <w:vAlign w:val="center"/>
          </w:tcPr>
          <w:p w14:paraId="44BAF5DD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F1092C6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7AA420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79B2E538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78EC59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19DB9278" w14:textId="77777777" w:rsidR="00EA0590" w:rsidRPr="0082465B" w:rsidRDefault="00EA0590" w:rsidP="0041648B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EA0590" w:rsidRPr="0082465B" w14:paraId="767C2303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B3EC39D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11E339C0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552B3AD0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A0590" w:rsidRPr="0082465B" w14:paraId="0316AAE0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358280C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380514E0" w14:textId="02D8796C" w:rsidR="00EA0590" w:rsidRPr="0082465B" w:rsidRDefault="00202A2C" w:rsidP="0041648B">
            <w:pPr>
              <w:rPr>
                <w:lang w:val="ru-RU"/>
              </w:rPr>
            </w:pPr>
            <w:r>
              <w:rPr>
                <w:color w:val="222222"/>
                <w:shd w:val="clear" w:color="auto" w:fill="FFFFFF"/>
                <w:lang w:val="sr-Cyrl-RS"/>
              </w:rPr>
              <w:t>Кртолица, Мирјана П. (2019). „Проблем комичног у теорији књижевности од антике до ренесансе“. У: </w:t>
            </w:r>
            <w:r>
              <w:rPr>
                <w:i/>
                <w:iCs/>
                <w:color w:val="222222"/>
                <w:shd w:val="clear" w:color="auto" w:fill="FFFFFF"/>
              </w:rPr>
              <w:t>Philologia Mediana</w:t>
            </w:r>
            <w:r>
              <w:rPr>
                <w:color w:val="222222"/>
                <w:shd w:val="clear" w:color="auto" w:fill="FFFFFF"/>
                <w:lang w:val="sr-Cyrl-RS"/>
              </w:rPr>
              <w:t>, </w:t>
            </w:r>
            <w:r>
              <w:rPr>
                <w:color w:val="222222"/>
                <w:shd w:val="clear" w:color="auto" w:fill="FFFFFF"/>
              </w:rPr>
              <w:t>Ниш: Филозофски факултет</w:t>
            </w:r>
            <w:r>
              <w:rPr>
                <w:color w:val="222222"/>
                <w:shd w:val="clear" w:color="auto" w:fill="FFFFFF"/>
                <w:lang w:val="sr-Cyrl-RS"/>
              </w:rPr>
              <w:t>, 2019, стр. </w:t>
            </w:r>
            <w:r>
              <w:rPr>
                <w:color w:val="222222"/>
                <w:shd w:val="clear" w:color="auto" w:fill="FFFFFF"/>
              </w:rPr>
              <w:t>315–327.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35FE97EA" w14:textId="37A57863" w:rsidR="00EA0590" w:rsidRPr="0082465B" w:rsidRDefault="00202A2C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 М51</w:t>
            </w:r>
          </w:p>
        </w:tc>
      </w:tr>
      <w:tr w:rsidR="00EA0590" w:rsidRPr="0082465B" w14:paraId="0069BF52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7A6161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3E517CEF" w14:textId="77777777" w:rsidR="00EA0590" w:rsidRDefault="00EA0590" w:rsidP="0041648B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59A9309D" w14:textId="693A82CF" w:rsidR="00B8295B" w:rsidRPr="00B8295B" w:rsidRDefault="00B8295B" w:rsidP="0041648B">
            <w:pPr>
              <w:rPr>
                <w:iCs/>
                <w:color w:val="808080"/>
                <w:lang w:val="ru-RU"/>
              </w:rPr>
            </w:pP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У раду је анализиран </w:t>
            </w:r>
            <w:r>
              <w:rPr>
                <w:color w:val="808080"/>
                <w:sz w:val="18"/>
                <w:szCs w:val="18"/>
                <w:lang w:val="ru-RU"/>
              </w:rPr>
              <w:t>феномен комичног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 </w:t>
            </w:r>
            <w:r w:rsidR="001924A9">
              <w:rPr>
                <w:color w:val="808080"/>
                <w:sz w:val="18"/>
                <w:szCs w:val="18"/>
                <w:lang w:val="ru-RU"/>
              </w:rPr>
              <w:t>и смеха у теоријским расправама од античких времена до ренесансе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. </w:t>
            </w:r>
            <w:r w:rsidR="001924A9">
              <w:rPr>
                <w:color w:val="808080"/>
                <w:sz w:val="18"/>
                <w:szCs w:val="18"/>
                <w:lang w:val="ru-RU"/>
              </w:rPr>
              <w:t>П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осебна пажња посвећена је </w:t>
            </w:r>
            <w:r w:rsidR="001924A9">
              <w:rPr>
                <w:color w:val="808080"/>
                <w:sz w:val="18"/>
                <w:szCs w:val="18"/>
                <w:lang w:val="ru-RU"/>
              </w:rPr>
              <w:t>Платоновим и Аристотеловим расправа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, </w:t>
            </w:r>
            <w:r w:rsidR="001924A9">
              <w:rPr>
                <w:color w:val="808080"/>
                <w:sz w:val="18"/>
                <w:szCs w:val="18"/>
                <w:lang w:val="ru-RU"/>
              </w:rPr>
              <w:t xml:space="preserve">у којима долази до креативне синтезе естетског и етичког </w:t>
            </w:r>
            <w:r w:rsidR="001924A9">
              <w:rPr>
                <w:color w:val="808080"/>
                <w:sz w:val="18"/>
                <w:szCs w:val="18"/>
                <w:lang w:val="ru-RU"/>
              </w:rPr>
              <w:lastRenderedPageBreak/>
              <w:t xml:space="preserve">поимања смеха, као и њиховом снажном одјеку на ренесансне теорије комичног и смеха, које су заступали </w:t>
            </w:r>
            <w:r w:rsidR="00F9166A">
              <w:rPr>
                <w:color w:val="808080"/>
                <w:sz w:val="18"/>
                <w:szCs w:val="18"/>
                <w:lang w:val="ru-RU"/>
              </w:rPr>
              <w:t>Скалиђеро, даниело, Ђиралди, Мађи и др.</w:t>
            </w:r>
            <w:r w:rsidRPr="00D53DB1">
              <w:rPr>
                <w:color w:val="808080"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ABAEED8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56DB747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3DD6103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EDFA11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433878F" w14:textId="77777777" w:rsidR="00EA0590" w:rsidRPr="00202A2C" w:rsidRDefault="00EA0590" w:rsidP="0041648B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66E19">
              <w:rPr>
                <w:b/>
                <w:bCs/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7E4462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B6316E9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372C7F4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6E105D8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D1CFE4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0C52C6D4" w14:textId="309ABF18" w:rsidR="00EA0590" w:rsidRPr="0082465B" w:rsidRDefault="00C30FD9" w:rsidP="0041648B">
            <w:pPr>
              <w:rPr>
                <w:lang w:val="ru-RU"/>
              </w:rPr>
            </w:pPr>
            <w:r>
              <w:rPr>
                <w:color w:val="222222"/>
                <w:lang w:val="sr-Cyrl-RS"/>
              </w:rPr>
              <w:t>Кртолица, Мирјана П</w:t>
            </w:r>
            <w:r>
              <w:rPr>
                <w:color w:val="222222"/>
              </w:rPr>
              <w:t>. (2020). </w:t>
            </w:r>
            <w:r>
              <w:rPr>
                <w:color w:val="222222"/>
                <w:lang w:val="sr-Cyrl-RS"/>
              </w:rPr>
              <w:t>„Феномен госпође министарке“</w:t>
            </w:r>
            <w:r>
              <w:rPr>
                <w:color w:val="222222"/>
              </w:rPr>
              <w:t>. У: </w:t>
            </w:r>
            <w:r>
              <w:rPr>
                <w:i/>
                <w:iCs/>
                <w:color w:val="222222"/>
                <w:lang w:val="sr-Cyrl-RS"/>
              </w:rPr>
              <w:t>Језик, књижевност, контекст</w:t>
            </w:r>
            <w:r>
              <w:rPr>
                <w:color w:val="222222"/>
                <w:lang w:val="sr-Cyrl-RS"/>
              </w:rPr>
              <w:t>, </w:t>
            </w:r>
            <w:r>
              <w:rPr>
                <w:color w:val="222222"/>
              </w:rPr>
              <w:t>Ниш: Филозофски факултет</w:t>
            </w:r>
            <w:r>
              <w:rPr>
                <w:color w:val="222222"/>
                <w:lang w:val="sr-Cyrl-RS"/>
              </w:rPr>
              <w:t>, 2020, стр. 677</w:t>
            </w:r>
            <w:r>
              <w:rPr>
                <w:color w:val="222222"/>
              </w:rPr>
              <w:t>–</w:t>
            </w:r>
            <w:r>
              <w:rPr>
                <w:color w:val="222222"/>
                <w:lang w:val="sr-Cyrl-RS"/>
              </w:rPr>
              <w:t>690.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5EA263F1" w14:textId="0EE90D97" w:rsidR="00EA0590" w:rsidRPr="0082465B" w:rsidRDefault="00C30FD9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 М33</w:t>
            </w:r>
          </w:p>
        </w:tc>
      </w:tr>
      <w:tr w:rsidR="00EA0590" w:rsidRPr="0082465B" w14:paraId="47087CD6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1A9FB85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1D2DFBD" w14:textId="77777777" w:rsidR="00EA0590" w:rsidRDefault="00EA0590" w:rsidP="0041648B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0123052C" w14:textId="1E7FBE02" w:rsidR="00663810" w:rsidRPr="00663810" w:rsidRDefault="00663810" w:rsidP="0041648B">
            <w:pPr>
              <w:rPr>
                <w:iCs/>
                <w:lang w:val="ru-RU"/>
              </w:rPr>
            </w:pPr>
            <w:r>
              <w:rPr>
                <w:iCs/>
                <w:color w:val="808080"/>
                <w:sz w:val="18"/>
                <w:szCs w:val="18"/>
                <w:lang w:val="ru-RU"/>
              </w:rPr>
              <w:t>У раду је из трансмедијалне, психоаналитичке и интерпретативно-умјетничке перспективе сагледан феномен ”госпође министарке” у делу Бранислава Нушића. При томе је указано како је фигура ове комеичне јунакиње доживљавале различите врсте уметничких интерпретација у различитим уметничким формама (комедија, позоришне представе, телевизијски филмови).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78A130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49DF7BF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BA9F0C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31864C9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8344DD1" w14:textId="77777777" w:rsidR="00EA0590" w:rsidRPr="00C30FD9" w:rsidRDefault="00EA0590" w:rsidP="0041648B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66E19">
              <w:rPr>
                <w:b/>
                <w:bCs/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999F70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2A7D3C5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B73CD7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76420D8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B3616B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4511D9B2" w14:textId="77777777" w:rsidR="00EA0590" w:rsidRPr="0082465B" w:rsidRDefault="00EA0590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58D9677E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060387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74CD0AA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8EDED8F" w14:textId="77777777" w:rsidR="00EA0590" w:rsidRPr="0082465B" w:rsidRDefault="00EA0590" w:rsidP="0041648B">
            <w:pPr>
              <w:rPr>
                <w:i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ABF850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E53CC8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662E08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A4D91C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5CDDA813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E85D09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2EA136E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9C53A2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A6A5E8A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FD9DD9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3415AF96" w14:textId="77777777" w:rsidR="00EA0590" w:rsidRPr="0082465B" w:rsidRDefault="00EA0590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3EFDD1E7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2D4CB7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DB9A2E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5AA8E44" w14:textId="77777777" w:rsidR="00EA0590" w:rsidRPr="0082465B" w:rsidRDefault="00EA0590" w:rsidP="0041648B">
            <w:pPr>
              <w:rPr>
                <w:i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B20C28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F1A6BEE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88E036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4B24325F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6AD3EB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F4B5135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7776BF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B74E8FA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0500B075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3AB4A46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6D4D3DD6" w14:textId="77777777" w:rsidR="00EA0590" w:rsidRPr="0082465B" w:rsidRDefault="00EA0590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474A35D9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E5150C7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67E3E3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34248E6E" w14:textId="77777777" w:rsidR="00EA0590" w:rsidRPr="0082465B" w:rsidRDefault="00EA0590" w:rsidP="0041648B">
            <w:pPr>
              <w:rPr>
                <w:i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978E76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BDF2B58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094A25C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6125628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241132E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589BDFA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5049F9C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10159C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F0DCF8F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B8EC44E" w14:textId="77777777" w:rsidR="00EA0590" w:rsidRPr="0082465B" w:rsidRDefault="00EA0590" w:rsidP="0041648B">
            <w:pPr>
              <w:rPr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НАПОМЕНА</w:t>
            </w:r>
            <w:r w:rsidRPr="0082465B">
              <w:rPr>
                <w:sz w:val="20"/>
                <w:szCs w:val="20"/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EA0590" w:rsidRPr="0082465B" w14:paraId="516BEDB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FE07818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82465B">
              <w:rPr>
                <w:rFonts w:eastAsia="TimesNewRomanPS-BoldMT"/>
                <w:b/>
                <w:lang w:val="sr-Cyrl-RS"/>
              </w:rPr>
              <w:t>ПОДНОШЕЊЕ ЗАХТЕВА ЗА ОДОБРАВАЊЕ</w:t>
            </w:r>
            <w:r w:rsidRPr="0082465B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EA0590" w:rsidRPr="0082465B" w14:paraId="1B449162" w14:textId="77777777" w:rsidTr="0041648B">
        <w:trPr>
          <w:trHeight w:val="340"/>
          <w:jc w:val="center"/>
        </w:trPr>
        <w:tc>
          <w:tcPr>
            <w:tcW w:w="9725" w:type="dxa"/>
            <w:gridSpan w:val="7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48B336A" w14:textId="77777777" w:rsidR="00EA0590" w:rsidRPr="0082465B" w:rsidRDefault="00EA0590" w:rsidP="0041648B">
            <w:pPr>
              <w:rPr>
                <w:b/>
                <w:sz w:val="20"/>
                <w:szCs w:val="20"/>
                <w:lang w:val="sr-Cyrl-RS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82465B">
              <w:rPr>
                <w:b/>
                <w:sz w:val="20"/>
                <w:szCs w:val="20"/>
                <w:lang w:val="sr-Cyrl-RS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B402A3F" w14:textId="77777777" w:rsidR="00EA0590" w:rsidRPr="0082465B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66E19">
              <w:rPr>
                <w:b/>
                <w:sz w:val="20"/>
                <w:szCs w:val="20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7A18A54" w14:textId="77777777" w:rsidR="00EA0590" w:rsidRPr="00336585" w:rsidRDefault="00EA0590" w:rsidP="0041648B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336585">
              <w:rPr>
                <w:bCs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3E0A44BF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auto"/>
            <w:vAlign w:val="center"/>
          </w:tcPr>
          <w:p w14:paraId="308A206A" w14:textId="77777777" w:rsidR="00EA0590" w:rsidRPr="0082465B" w:rsidRDefault="00EA0590" w:rsidP="0041648B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EA0590" w:rsidRPr="0082465B" w14:paraId="24E77832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AFC1CBE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EA0590" w:rsidRPr="0082465B" w14:paraId="306E7BDF" w14:textId="77777777" w:rsidTr="0041648B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EFAE17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82465B">
              <w:rPr>
                <w:rFonts w:eastAsia="TimesNewRomanPS-BoldMT"/>
                <w:sz w:val="18"/>
                <w:szCs w:val="18"/>
              </w:rPr>
              <w:t>,</w:t>
            </w: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9A88120" w14:textId="7A11A73C" w:rsidR="00EA0590" w:rsidRPr="00B617B7" w:rsidRDefault="00982CBE" w:rsidP="0041648B">
            <w:pPr>
              <w:rPr>
                <w:lang w:val="ru-RU"/>
              </w:rPr>
            </w:pPr>
            <w:r w:rsidRPr="00B617B7">
              <w:rPr>
                <w:lang w:val="ru-RU"/>
              </w:rPr>
              <w:t>Горан Максимовић, редовни професор</w:t>
            </w:r>
          </w:p>
        </w:tc>
      </w:tr>
      <w:tr w:rsidR="00EA0590" w:rsidRPr="0082465B" w14:paraId="181C2E15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992EC49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347F70EE" w14:textId="01A76080" w:rsidR="00EA0590" w:rsidRPr="00B617B7" w:rsidRDefault="00B617B7" w:rsidP="0041648B">
            <w:pPr>
              <w:rPr>
                <w:lang w:val="ru-RU"/>
              </w:rPr>
            </w:pPr>
            <w:r w:rsidRPr="00B617B7">
              <w:rPr>
                <w:lang w:val="ru-RU"/>
              </w:rPr>
              <w:t>Српска књижевност (Српски предромантизам, Српски романтизам, Српски реализам)</w:t>
            </w:r>
          </w:p>
        </w:tc>
      </w:tr>
      <w:tr w:rsidR="00EA0590" w:rsidRPr="0082465B" w14:paraId="7D4F6845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C20AA6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C352168" w14:textId="692F84B9" w:rsidR="00EA0590" w:rsidRPr="00B617B7" w:rsidRDefault="00B617B7" w:rsidP="0041648B">
            <w:pPr>
              <w:rPr>
                <w:lang w:val="ru-RU"/>
              </w:rPr>
            </w:pPr>
            <w:r w:rsidRPr="00B617B7">
              <w:rPr>
                <w:lang w:val="ru-RU"/>
              </w:rPr>
              <w:t>2. 06. 2008.</w:t>
            </w:r>
          </w:p>
        </w:tc>
      </w:tr>
      <w:tr w:rsidR="00EA0590" w:rsidRPr="0082465B" w14:paraId="115966F3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A6028EF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60F3B0F" w14:textId="601D6804" w:rsidR="00EA0590" w:rsidRPr="00B617B7" w:rsidRDefault="00B617B7" w:rsidP="0041648B">
            <w:pPr>
              <w:rPr>
                <w:lang w:val="ru-RU"/>
              </w:rPr>
            </w:pPr>
            <w:r w:rsidRPr="00B617B7">
              <w:rPr>
                <w:lang w:val="ru-RU"/>
              </w:rPr>
              <w:t>Филозофски факултет Универзитета у Нишу</w:t>
            </w:r>
          </w:p>
        </w:tc>
      </w:tr>
      <w:tr w:rsidR="00EA0590" w:rsidRPr="0082465B" w14:paraId="30BD4AD1" w14:textId="77777777" w:rsidTr="0041648B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DCF2A1B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7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F8F1FA0" w14:textId="7B4B2C2B" w:rsidR="00EA0590" w:rsidRPr="00B617B7" w:rsidRDefault="00B617B7" w:rsidP="0041648B">
            <w:pPr>
              <w:rPr>
                <w:lang w:val="en-US"/>
              </w:rPr>
            </w:pPr>
            <w:r>
              <w:rPr>
                <w:lang w:val="en-US"/>
              </w:rPr>
              <w:t>goran.maksimovic@filfak.ni.ac.rs</w:t>
            </w:r>
          </w:p>
        </w:tc>
      </w:tr>
      <w:tr w:rsidR="00EA0590" w:rsidRPr="0082465B" w14:paraId="3FE20C04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8EBF9FB" w14:textId="77777777" w:rsidR="00EA0590" w:rsidRPr="0082465B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EA0590" w:rsidRPr="0082465B" w14:paraId="4FC3A43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DF3DCA1" w14:textId="77777777" w:rsidR="00EA0590" w:rsidRPr="0082465B" w:rsidRDefault="00EA0590" w:rsidP="0041648B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6F63EAE5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67374E4C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A0590" w:rsidRPr="0082465B" w14:paraId="2BEF673E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F80577C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19A8E0AE" w14:textId="4731C80A" w:rsidR="00EA0590" w:rsidRPr="0082465B" w:rsidRDefault="00847F70" w:rsidP="0041648B">
            <w:pPr>
              <w:rPr>
                <w:lang w:val="ru-RU"/>
              </w:rPr>
            </w:pPr>
            <w:r>
              <w:rPr>
                <w:rFonts w:eastAsia="Calibri"/>
                <w:lang w:val="sr-Cyrl-RS"/>
              </w:rPr>
              <w:t>„</w:t>
            </w:r>
            <w:r w:rsidR="00F26954" w:rsidRPr="00FC0119">
              <w:rPr>
                <w:rFonts w:eastAsia="Calibri"/>
                <w:lang w:val="sr-Cyrl-CS"/>
              </w:rPr>
              <w:t xml:space="preserve">Еротско у </w:t>
            </w:r>
            <w:r w:rsidR="00F26954" w:rsidRPr="00FC0119">
              <w:rPr>
                <w:rFonts w:eastAsia="Calibri"/>
                <w:i/>
                <w:lang w:val="sr-Cyrl-CS"/>
              </w:rPr>
              <w:t>Нечистој крви</w:t>
            </w:r>
            <w:r w:rsidR="00F26954" w:rsidRPr="00FC0119">
              <w:rPr>
                <w:rFonts w:eastAsia="Calibri"/>
                <w:lang w:val="sr-Cyrl-CS"/>
              </w:rPr>
              <w:t xml:space="preserve"> Борисава Станковића", </w:t>
            </w:r>
            <w:r w:rsidR="00F26954" w:rsidRPr="00FC0119">
              <w:rPr>
                <w:rFonts w:eastAsia="Calibri"/>
                <w:i/>
                <w:lang w:val="sr-Cyrl-CS"/>
              </w:rPr>
              <w:t>Зборник Матице српске за књижевност и језик</w:t>
            </w:r>
            <w:r w:rsidR="00F26954" w:rsidRPr="00FC0119">
              <w:rPr>
                <w:rFonts w:eastAsia="Calibri"/>
                <w:lang w:val="sr-Cyrl-CS"/>
              </w:rPr>
              <w:t xml:space="preserve">, књига </w:t>
            </w:r>
            <w:r w:rsidR="00F26954" w:rsidRPr="00FC0119">
              <w:rPr>
                <w:rFonts w:eastAsia="Calibri"/>
              </w:rPr>
              <w:t>LI</w:t>
            </w:r>
            <w:r w:rsidR="00F26954" w:rsidRPr="00FC0119">
              <w:rPr>
                <w:rFonts w:eastAsia="Calibri"/>
                <w:lang w:val="sr-Cyrl-CS"/>
              </w:rPr>
              <w:t>Х</w:t>
            </w:r>
            <w:r w:rsidR="00F26954" w:rsidRPr="00FC0119">
              <w:rPr>
                <w:rFonts w:eastAsia="Calibri"/>
              </w:rPr>
              <w:t xml:space="preserve">, </w:t>
            </w:r>
            <w:r w:rsidR="00F26954" w:rsidRPr="00FC0119">
              <w:rPr>
                <w:rFonts w:eastAsia="Calibri"/>
                <w:lang w:val="sr-Cyrl-CS"/>
              </w:rPr>
              <w:t>свеска 1/2011, Нови Сад, 2011, стр. 59-71.</w:t>
            </w:r>
            <w:r w:rsidR="00F26954" w:rsidRPr="00FC0119">
              <w:rPr>
                <w:rFonts w:eastAsia="Calibri"/>
                <w:lang w:val="ru-RU"/>
              </w:rPr>
              <w:t xml:space="preserve"> </w:t>
            </w:r>
            <w:r w:rsidR="00F26954" w:rsidRPr="00FC0119">
              <w:rPr>
                <w:rFonts w:eastAsia="Calibri"/>
              </w:rPr>
              <w:t>ISSN 0543-122</w:t>
            </w:r>
            <w:r w:rsidR="00F26954" w:rsidRPr="00FC0119">
              <w:rPr>
                <w:rFonts w:eastAsia="Calibri"/>
                <w:lang w:val="sr-Cyrl-CS"/>
              </w:rPr>
              <w:t>0</w:t>
            </w:r>
            <w:r w:rsidR="00F26954" w:rsidRPr="00FC0119">
              <w:rPr>
                <w:rFonts w:eastAsia="Calibri"/>
              </w:rPr>
              <w:t xml:space="preserve"> | UDC 82(05)</w:t>
            </w:r>
          </w:p>
        </w:tc>
        <w:tc>
          <w:tcPr>
            <w:tcW w:w="1061" w:type="dxa"/>
            <w:gridSpan w:val="2"/>
            <w:vAlign w:val="center"/>
          </w:tcPr>
          <w:p w14:paraId="7EC02243" w14:textId="1E193B78" w:rsidR="00EA0590" w:rsidRPr="00F26954" w:rsidRDefault="00856FFA" w:rsidP="0041648B">
            <w:pPr>
              <w:rPr>
                <w:lang w:val="en-US"/>
              </w:rPr>
            </w:pPr>
            <w:r>
              <w:rPr>
                <w:lang w:val="sr-Cyrl-RS"/>
              </w:rPr>
              <w:t xml:space="preserve"> </w:t>
            </w:r>
            <w:r w:rsidR="00F26954">
              <w:rPr>
                <w:lang w:val="en-US"/>
              </w:rPr>
              <w:t>M24</w:t>
            </w:r>
          </w:p>
        </w:tc>
      </w:tr>
      <w:tr w:rsidR="00EA0590" w:rsidRPr="0082465B" w14:paraId="2103EAA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A58759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4EA3E0F2" w14:textId="2D6242DE" w:rsidR="00EA0590" w:rsidRPr="0082465B" w:rsidRDefault="00847F70" w:rsidP="0041648B">
            <w:pPr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„</w:t>
            </w:r>
            <w:r w:rsidR="00016430">
              <w:rPr>
                <w:rFonts w:eastAsia="Calibri"/>
                <w:lang w:val="sr-Cyrl-CS"/>
              </w:rPr>
              <w:t xml:space="preserve">Три </w:t>
            </w:r>
            <w:r w:rsidR="00016430" w:rsidRPr="00FC0119">
              <w:rPr>
                <w:rFonts w:eastAsia="Calibri"/>
                <w:lang w:val="sr-Cyrl-CS"/>
              </w:rPr>
              <w:t xml:space="preserve">српска књижевника у огледима Бранка Милановића (Шантић, Ћоровић, Кочић", </w:t>
            </w:r>
            <w:r w:rsidR="00016430" w:rsidRPr="00FC0119">
              <w:rPr>
                <w:rFonts w:eastAsia="Calibri"/>
                <w:i/>
                <w:lang w:val="sr-Cyrl-CS"/>
              </w:rPr>
              <w:t>Зборник Матице српске за књижевност и језик</w:t>
            </w:r>
            <w:r w:rsidR="00016430" w:rsidRPr="00FC0119">
              <w:rPr>
                <w:rFonts w:eastAsia="Calibri"/>
                <w:lang w:val="sr-Cyrl-CS"/>
              </w:rPr>
              <w:t xml:space="preserve">, књига </w:t>
            </w:r>
            <w:r w:rsidR="00016430" w:rsidRPr="00FC0119">
              <w:rPr>
                <w:rFonts w:eastAsia="Calibri"/>
              </w:rPr>
              <w:t>LI</w:t>
            </w:r>
            <w:r w:rsidR="00016430" w:rsidRPr="00FC0119">
              <w:rPr>
                <w:rFonts w:eastAsia="Calibri"/>
                <w:lang w:val="sr-Cyrl-CS"/>
              </w:rPr>
              <w:t>Х</w:t>
            </w:r>
            <w:r w:rsidR="00016430" w:rsidRPr="00FC0119">
              <w:rPr>
                <w:rFonts w:eastAsia="Calibri"/>
              </w:rPr>
              <w:t xml:space="preserve">, </w:t>
            </w:r>
            <w:r w:rsidR="00016430" w:rsidRPr="00FC0119">
              <w:rPr>
                <w:rFonts w:eastAsia="Calibri"/>
                <w:lang w:val="sr-Cyrl-CS"/>
              </w:rPr>
              <w:t>свеска 2/2011, Нови Сад, 2011, стр. 321-328.</w:t>
            </w:r>
            <w:r w:rsidR="00016430" w:rsidRPr="00FC0119">
              <w:rPr>
                <w:rFonts w:eastAsia="Calibri"/>
                <w:lang w:val="ru-RU"/>
              </w:rPr>
              <w:t xml:space="preserve"> </w:t>
            </w:r>
            <w:r w:rsidR="00016430" w:rsidRPr="00FC0119">
              <w:rPr>
                <w:rFonts w:eastAsia="Calibri"/>
              </w:rPr>
              <w:t>ISSN 0543-122</w:t>
            </w:r>
            <w:r w:rsidR="00016430" w:rsidRPr="00FC0119">
              <w:rPr>
                <w:rFonts w:eastAsia="Calibri"/>
                <w:lang w:val="sr-Cyrl-CS"/>
              </w:rPr>
              <w:t>0</w:t>
            </w:r>
            <w:r w:rsidR="00016430" w:rsidRPr="00FC0119">
              <w:rPr>
                <w:rFonts w:eastAsia="Calibri"/>
              </w:rPr>
              <w:t xml:space="preserve"> | UDC 82(05</w:t>
            </w:r>
          </w:p>
        </w:tc>
        <w:tc>
          <w:tcPr>
            <w:tcW w:w="1061" w:type="dxa"/>
            <w:gridSpan w:val="2"/>
            <w:vAlign w:val="center"/>
          </w:tcPr>
          <w:p w14:paraId="7FF97B80" w14:textId="490B2184" w:rsidR="00EA0590" w:rsidRPr="00016430" w:rsidRDefault="00856FFA" w:rsidP="0041648B">
            <w:pPr>
              <w:rPr>
                <w:lang w:val="en-US"/>
              </w:rPr>
            </w:pPr>
            <w:r>
              <w:rPr>
                <w:lang w:val="sr-Cyrl-RS"/>
              </w:rPr>
              <w:t xml:space="preserve"> </w:t>
            </w:r>
            <w:r w:rsidR="00016430">
              <w:rPr>
                <w:lang w:val="en-US"/>
              </w:rPr>
              <w:t>M24</w:t>
            </w:r>
          </w:p>
        </w:tc>
      </w:tr>
      <w:tr w:rsidR="00EA0590" w:rsidRPr="0082465B" w14:paraId="0DE1457E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2E4E5DB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0F6D124A" w14:textId="727D47E3" w:rsidR="00EA0590" w:rsidRPr="0082465B" w:rsidRDefault="00847F70" w:rsidP="0041648B">
            <w:pPr>
              <w:rPr>
                <w:lang w:val="ru-RU"/>
              </w:rPr>
            </w:pPr>
            <w:r>
              <w:rPr>
                <w:rFonts w:eastAsia="Calibri"/>
                <w:lang w:val="sr-Cyrl-CS"/>
              </w:rPr>
              <w:t>„</w:t>
            </w:r>
            <w:r w:rsidR="007E16A5" w:rsidRPr="00FC0119">
              <w:rPr>
                <w:rFonts w:eastAsia="Calibri"/>
                <w:lang w:val="sr-Cyrl-CS"/>
              </w:rPr>
              <w:t xml:space="preserve">Идентитет града у прози Стевана Сремца", </w:t>
            </w:r>
            <w:r w:rsidR="007E16A5" w:rsidRPr="00FC0119">
              <w:rPr>
                <w:rFonts w:eastAsia="Calibri"/>
                <w:i/>
                <w:lang w:val="sr-Cyrl-CS"/>
              </w:rPr>
              <w:t>Зборник Матице српске за књижевност и језик</w:t>
            </w:r>
            <w:r w:rsidR="007E16A5" w:rsidRPr="00FC0119">
              <w:rPr>
                <w:rFonts w:eastAsia="Calibri"/>
                <w:lang w:val="sr-Cyrl-CS"/>
              </w:rPr>
              <w:t xml:space="preserve">, књига </w:t>
            </w:r>
            <w:r w:rsidR="007E16A5" w:rsidRPr="00FC0119">
              <w:rPr>
                <w:rFonts w:eastAsia="Calibri"/>
              </w:rPr>
              <w:t>L</w:t>
            </w:r>
            <w:r w:rsidR="007E16A5" w:rsidRPr="00FC0119">
              <w:rPr>
                <w:rFonts w:eastAsia="Calibri"/>
                <w:lang w:val="sr-Cyrl-CS"/>
              </w:rPr>
              <w:t>Х</w:t>
            </w:r>
            <w:r w:rsidR="007E16A5" w:rsidRPr="00FC0119">
              <w:rPr>
                <w:rFonts w:eastAsia="Calibri"/>
              </w:rPr>
              <w:t xml:space="preserve">, </w:t>
            </w:r>
            <w:r w:rsidR="007E16A5" w:rsidRPr="00FC0119">
              <w:rPr>
                <w:rFonts w:eastAsia="Calibri"/>
                <w:lang w:val="sr-Cyrl-CS"/>
              </w:rPr>
              <w:t>свеска 1/2012, Нови Сад, 2012, стр. 99-118.</w:t>
            </w:r>
            <w:r w:rsidR="007E16A5" w:rsidRPr="00FC0119">
              <w:rPr>
                <w:rFonts w:eastAsia="Calibri"/>
                <w:lang w:val="ru-RU"/>
              </w:rPr>
              <w:t xml:space="preserve"> </w:t>
            </w:r>
            <w:r w:rsidR="007E16A5" w:rsidRPr="00FC0119">
              <w:rPr>
                <w:rFonts w:eastAsia="Calibri"/>
              </w:rPr>
              <w:t>ISSN 0543-122</w:t>
            </w:r>
            <w:r w:rsidR="007E16A5" w:rsidRPr="00FC0119">
              <w:rPr>
                <w:rFonts w:eastAsia="Calibri"/>
                <w:lang w:val="sr-Cyrl-CS"/>
              </w:rPr>
              <w:t>0</w:t>
            </w:r>
            <w:r w:rsidR="007E16A5" w:rsidRPr="00FC0119">
              <w:rPr>
                <w:rFonts w:eastAsia="Calibri"/>
              </w:rPr>
              <w:t xml:space="preserve"> | COBISS.SR-ID 9627138</w:t>
            </w:r>
          </w:p>
        </w:tc>
        <w:tc>
          <w:tcPr>
            <w:tcW w:w="1061" w:type="dxa"/>
            <w:gridSpan w:val="2"/>
            <w:vAlign w:val="center"/>
          </w:tcPr>
          <w:p w14:paraId="66636331" w14:textId="4B11A443" w:rsidR="00EA0590" w:rsidRPr="007E16A5" w:rsidRDefault="00856FFA" w:rsidP="0041648B">
            <w:pPr>
              <w:rPr>
                <w:lang w:val="en-US"/>
              </w:rPr>
            </w:pPr>
            <w:r>
              <w:rPr>
                <w:lang w:val="sr-Cyrl-RS"/>
              </w:rPr>
              <w:t xml:space="preserve"> </w:t>
            </w:r>
            <w:r w:rsidR="007E16A5">
              <w:rPr>
                <w:lang w:val="en-US"/>
              </w:rPr>
              <w:t>M24</w:t>
            </w:r>
          </w:p>
        </w:tc>
      </w:tr>
      <w:tr w:rsidR="00EA0590" w:rsidRPr="0082465B" w14:paraId="4AE45DA7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6339B76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54DFC98B" w14:textId="7893AAC9" w:rsidR="00EA0590" w:rsidRPr="00642A07" w:rsidRDefault="00847F70" w:rsidP="0041648B">
            <w:pPr>
              <w:rPr>
                <w:lang w:val="en-US"/>
              </w:rPr>
            </w:pPr>
            <w:r>
              <w:rPr>
                <w:lang w:val="sr-Cyrl-RS"/>
              </w:rPr>
              <w:t>„</w:t>
            </w:r>
            <w:r w:rsidRPr="00847F70">
              <w:rPr>
                <w:lang w:val="sr-Cyrl-RS"/>
              </w:rPr>
              <w:t>Симо Матавуљ и Марко Цар</w:t>
            </w:r>
            <w:r>
              <w:rPr>
                <w:lang w:val="sr-Cyrl-RS"/>
              </w:rPr>
              <w:t>“</w:t>
            </w:r>
            <w:r w:rsidRPr="00847F70">
              <w:rPr>
                <w:lang w:val="sr-Cyrl-RS"/>
              </w:rPr>
              <w:t xml:space="preserve">, </w:t>
            </w:r>
            <w:r w:rsidRPr="00847F70">
              <w:rPr>
                <w:i/>
                <w:lang w:val="sr-Cyrl-RS"/>
              </w:rPr>
              <w:t>Зборник Матице српске за књижевност и језик</w:t>
            </w:r>
            <w:r w:rsidRPr="00847F70">
              <w:rPr>
                <w:lang w:val="sr-Cyrl-RS"/>
              </w:rPr>
              <w:t>, књига LХV</w:t>
            </w:r>
            <w:r w:rsidRPr="00847F70">
              <w:rPr>
                <w:lang w:val="sr-Latn-RS"/>
              </w:rPr>
              <w:t>I</w:t>
            </w:r>
            <w:r w:rsidRPr="00847F70">
              <w:rPr>
                <w:lang w:val="sr-Cyrl-RS"/>
              </w:rPr>
              <w:t xml:space="preserve">, свеска 2/2018, Нови Сад, 2018, стр. </w:t>
            </w:r>
            <w:r w:rsidRPr="00847F70">
              <w:rPr>
                <w:lang w:val="sr-Latn-RS"/>
              </w:rPr>
              <w:t>489</w:t>
            </w:r>
            <w:r w:rsidRPr="00847F70">
              <w:rPr>
                <w:lang w:val="sr-Cyrl-RS"/>
              </w:rPr>
              <w:t>-</w:t>
            </w:r>
            <w:r w:rsidRPr="00847F70">
              <w:rPr>
                <w:lang w:val="sr-Latn-RS"/>
              </w:rPr>
              <w:t>501</w:t>
            </w:r>
            <w:r w:rsidRPr="00847F70">
              <w:rPr>
                <w:lang w:val="sr-Cyrl-RS"/>
              </w:rPr>
              <w:t xml:space="preserve">. ISSN 0543-1220 | COBISS.SR-ID 9627138 </w:t>
            </w:r>
            <w:r w:rsidRPr="00847F70">
              <w:rPr>
                <w:lang w:val="en-US"/>
              </w:rPr>
              <w:t>UDC 821.163.41-2.09 Matavulj S. UDC 821.163.41.09 Car M.</w:t>
            </w:r>
          </w:p>
        </w:tc>
        <w:tc>
          <w:tcPr>
            <w:tcW w:w="1061" w:type="dxa"/>
            <w:gridSpan w:val="2"/>
            <w:vAlign w:val="center"/>
          </w:tcPr>
          <w:p w14:paraId="2843C4DF" w14:textId="7ED779F9" w:rsidR="00EA0590" w:rsidRPr="0082465B" w:rsidRDefault="00856FFA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847F70">
              <w:rPr>
                <w:lang w:val="ru-RU"/>
              </w:rPr>
              <w:t>М24</w:t>
            </w:r>
          </w:p>
        </w:tc>
      </w:tr>
      <w:tr w:rsidR="00EA0590" w:rsidRPr="0082465B" w14:paraId="43A94BB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5E9A3D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5F3E3BBA" w14:textId="540BE4F8" w:rsidR="00EA0590" w:rsidRPr="00642A07" w:rsidRDefault="00097673" w:rsidP="00642A07">
            <w:pPr>
              <w:shd w:val="clear" w:color="auto" w:fill="FFFFFF"/>
              <w:rPr>
                <w:lang w:val="sr-Cyrl-RS"/>
              </w:rPr>
            </w:pPr>
            <w:r w:rsidRPr="00097673">
              <w:rPr>
                <w:lang w:val="sr-Cyrl-RS"/>
              </w:rPr>
              <w:t xml:space="preserve">„Лирски умотвори проте Васе Живковића“, </w:t>
            </w:r>
            <w:r w:rsidRPr="00097673">
              <w:rPr>
                <w:i/>
                <w:iCs/>
                <w:lang w:val="sr-Cyrl-RS"/>
              </w:rPr>
              <w:t>Зборник Матице српске за књижевност и језик</w:t>
            </w:r>
            <w:r w:rsidRPr="00097673">
              <w:rPr>
                <w:lang w:val="sr-Cyrl-RS"/>
              </w:rPr>
              <w:t xml:space="preserve">, књига 68(2020), свеска 1/2020, Нови Сад, 2020, стр. 343-349. ISSN 0543-1220 | COBISS.SR-ID 9627138 UDC 821.163.41-14.09. </w:t>
            </w:r>
            <w:r w:rsidRPr="00097673">
              <w:rPr>
                <w:lang w:val="sr-Latn-RS"/>
              </w:rPr>
              <w:t xml:space="preserve">Živković. V. </w:t>
            </w:r>
            <w:r w:rsidRPr="00097673">
              <w:rPr>
                <w:lang w:val="sr-Cyrl-RS"/>
              </w:rPr>
              <w:t xml:space="preserve">(049.32) </w:t>
            </w:r>
          </w:p>
        </w:tc>
        <w:tc>
          <w:tcPr>
            <w:tcW w:w="1061" w:type="dxa"/>
            <w:gridSpan w:val="2"/>
            <w:vAlign w:val="center"/>
          </w:tcPr>
          <w:p w14:paraId="71862E40" w14:textId="2B6F4B48" w:rsidR="00EA0590" w:rsidRPr="0082465B" w:rsidRDefault="00856FFA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97673">
              <w:rPr>
                <w:lang w:val="ru-RU"/>
              </w:rPr>
              <w:t>М24</w:t>
            </w:r>
          </w:p>
        </w:tc>
      </w:tr>
    </w:tbl>
    <w:p w14:paraId="50CB0FC9" w14:textId="77777777" w:rsidR="00EA0590" w:rsidRPr="005D659E" w:rsidRDefault="00EA0590" w:rsidP="00EA0590">
      <w:pPr>
        <w:rPr>
          <w:vanish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7960"/>
        <w:gridCol w:w="995"/>
        <w:gridCol w:w="1261"/>
      </w:tblGrid>
      <w:tr w:rsidR="00EA0590" w14:paraId="67BF2A33" w14:textId="77777777" w:rsidTr="0041648B">
        <w:tc>
          <w:tcPr>
            <w:tcW w:w="10773" w:type="dxa"/>
            <w:gridSpan w:val="4"/>
            <w:shd w:val="clear" w:color="auto" w:fill="D9D9D9"/>
          </w:tcPr>
          <w:p w14:paraId="19297D78" w14:textId="77777777" w:rsidR="00EA0590" w:rsidRPr="00AF65AC" w:rsidRDefault="00EA0590" w:rsidP="0041648B">
            <w:pPr>
              <w:jc w:val="center"/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Менторства у последње три године</w:t>
            </w:r>
          </w:p>
        </w:tc>
      </w:tr>
      <w:tr w:rsidR="00EA0590" w14:paraId="1DDF74D9" w14:textId="77777777" w:rsidTr="0041648B">
        <w:tc>
          <w:tcPr>
            <w:tcW w:w="561" w:type="dxa"/>
            <w:shd w:val="clear" w:color="auto" w:fill="D9D9D9"/>
            <w:vAlign w:val="center"/>
          </w:tcPr>
          <w:p w14:paraId="2BC2DCEA" w14:textId="77777777" w:rsidR="00EA0590" w:rsidRPr="005D659E" w:rsidRDefault="00EA0590" w:rsidP="0041648B">
            <w:pPr>
              <w:spacing w:before="100" w:beforeAutospacing="1" w:after="100" w:afterAutospacing="1" w:line="157" w:lineRule="atLeast"/>
              <w:ind w:left="-102" w:right="-105"/>
              <w:rPr>
                <w:lang w:val="sr-Latn-RS" w:eastAsia="sr-Latn-RS"/>
              </w:rPr>
            </w:pPr>
            <w:r w:rsidRPr="005D659E">
              <w:rPr>
                <w:b/>
                <w:sz w:val="18"/>
                <w:szCs w:val="18"/>
                <w:lang w:val="ru-RU" w:eastAsia="sr-Latn-RS"/>
              </w:rPr>
              <w:lastRenderedPageBreak/>
              <w:t xml:space="preserve">Р.  </w:t>
            </w:r>
            <w:r w:rsidRPr="005D659E">
              <w:rPr>
                <w:rFonts w:ascii="Calibri" w:hAnsi="Calibri"/>
                <w:b/>
                <w:sz w:val="18"/>
                <w:szCs w:val="18"/>
                <w:lang w:val="sr-Cyrl-RS" w:eastAsia="sr-Latn-RS"/>
              </w:rPr>
              <w:t>б</w:t>
            </w:r>
            <w:r w:rsidRPr="005D659E">
              <w:rPr>
                <w:b/>
                <w:sz w:val="18"/>
                <w:szCs w:val="18"/>
                <w:lang w:val="ru-RU" w:eastAsia="sr-Latn-RS"/>
              </w:rPr>
              <w:t>р.</w:t>
            </w:r>
          </w:p>
        </w:tc>
        <w:tc>
          <w:tcPr>
            <w:tcW w:w="8086" w:type="dxa"/>
            <w:shd w:val="clear" w:color="auto" w:fill="D9D9D9"/>
            <w:vAlign w:val="center"/>
          </w:tcPr>
          <w:p w14:paraId="6DA1D68B" w14:textId="77777777" w:rsidR="00EA0590" w:rsidRPr="00B91B4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highlight w:val="yellow"/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74B09505" w14:textId="77777777" w:rsidR="00EA0590" w:rsidRPr="00AF65A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Датум именов.</w:t>
            </w:r>
          </w:p>
        </w:tc>
        <w:tc>
          <w:tcPr>
            <w:tcW w:w="1128" w:type="dxa"/>
            <w:shd w:val="clear" w:color="auto" w:fill="D9D9D9"/>
          </w:tcPr>
          <w:p w14:paraId="3551CAD7" w14:textId="77777777" w:rsidR="00EA0590" w:rsidRPr="00AF65A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b/>
                <w:sz w:val="18"/>
                <w:szCs w:val="18"/>
                <w:lang w:val="sr-Cyrl-CS" w:eastAsia="sr-Latn-RS"/>
              </w:rPr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Датум одбране</w:t>
            </w:r>
          </w:p>
        </w:tc>
      </w:tr>
      <w:tr w:rsidR="00EA0590" w14:paraId="43A726EC" w14:textId="77777777" w:rsidTr="0041648B">
        <w:tc>
          <w:tcPr>
            <w:tcW w:w="561" w:type="dxa"/>
            <w:shd w:val="clear" w:color="auto" w:fill="D9D9D9"/>
          </w:tcPr>
          <w:p w14:paraId="20925B09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1.</w:t>
            </w:r>
          </w:p>
        </w:tc>
        <w:tc>
          <w:tcPr>
            <w:tcW w:w="8086" w:type="dxa"/>
            <w:shd w:val="clear" w:color="auto" w:fill="auto"/>
          </w:tcPr>
          <w:p w14:paraId="29BB3692" w14:textId="120CAD0A" w:rsidR="00EA0590" w:rsidRPr="00B91B4C" w:rsidRDefault="00F20353" w:rsidP="0041648B">
            <w:pPr>
              <w:rPr>
                <w:highlight w:val="yellow"/>
              </w:rPr>
            </w:pPr>
            <w:r w:rsidRPr="00E51BCA">
              <w:rPr>
                <w:lang w:val="ru-RU" w:eastAsia="sr-Latn-RS"/>
              </w:rPr>
              <w:t>Александар Костадиновић,</w:t>
            </w:r>
            <w:r w:rsidRPr="00E51BCA">
              <w:rPr>
                <w:lang w:val="sr-Cyrl-RS" w:eastAsia="sr-Latn-RS"/>
              </w:rPr>
              <w:t xml:space="preserve"> </w:t>
            </w:r>
            <w:r w:rsidRPr="00E51BCA">
              <w:rPr>
                <w:i/>
                <w:lang w:val="sr-Cyrl-CS"/>
              </w:rPr>
              <w:t xml:space="preserve">Слика страног света у српском путопису 19. века, </w:t>
            </w:r>
            <w:r w:rsidRPr="00E51BCA">
              <w:rPr>
                <w:iCs/>
                <w:lang w:val="sr-Cyrl-CS"/>
              </w:rPr>
              <w:t>Филозофски факултет Универзитета у Нишу</w:t>
            </w:r>
          </w:p>
        </w:tc>
        <w:tc>
          <w:tcPr>
            <w:tcW w:w="998" w:type="dxa"/>
            <w:shd w:val="clear" w:color="auto" w:fill="auto"/>
          </w:tcPr>
          <w:p w14:paraId="0E2951C3" w14:textId="77777777" w:rsidR="00EA0590" w:rsidRPr="00AF65AC" w:rsidRDefault="00EA0590" w:rsidP="0041648B"/>
        </w:tc>
        <w:tc>
          <w:tcPr>
            <w:tcW w:w="1128" w:type="dxa"/>
            <w:shd w:val="clear" w:color="auto" w:fill="auto"/>
          </w:tcPr>
          <w:p w14:paraId="62326DB2" w14:textId="69F038F0" w:rsidR="00EA0590" w:rsidRPr="00C92885" w:rsidRDefault="00C92885" w:rsidP="0041648B">
            <w:pPr>
              <w:rPr>
                <w:lang w:val="sr-Cyrl-RS"/>
              </w:rPr>
            </w:pPr>
            <w:r>
              <w:rPr>
                <w:lang w:val="sr-Cyrl-RS"/>
              </w:rPr>
              <w:t>19.09.2016.</w:t>
            </w:r>
          </w:p>
        </w:tc>
      </w:tr>
      <w:tr w:rsidR="00EA0590" w14:paraId="6470D22A" w14:textId="77777777" w:rsidTr="0041648B">
        <w:tc>
          <w:tcPr>
            <w:tcW w:w="561" w:type="dxa"/>
            <w:shd w:val="clear" w:color="auto" w:fill="D9D9D9"/>
          </w:tcPr>
          <w:p w14:paraId="7E8CFCBA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2.</w:t>
            </w:r>
          </w:p>
        </w:tc>
        <w:tc>
          <w:tcPr>
            <w:tcW w:w="8086" w:type="dxa"/>
            <w:shd w:val="clear" w:color="auto" w:fill="auto"/>
          </w:tcPr>
          <w:p w14:paraId="01C87957" w14:textId="0C499846" w:rsidR="00EA0590" w:rsidRPr="00B91B4C" w:rsidRDefault="00135133" w:rsidP="0041648B">
            <w:pPr>
              <w:rPr>
                <w:highlight w:val="yellow"/>
              </w:rPr>
            </w:pPr>
            <w:r w:rsidRPr="00E51BCA">
              <w:rPr>
                <w:lang w:val="ru-RU" w:eastAsia="sr-Latn-RS"/>
              </w:rPr>
              <w:t xml:space="preserve">Валентина Златановић Марковић, </w:t>
            </w:r>
            <w:r w:rsidRPr="00E51BCA">
              <w:rPr>
                <w:i/>
                <w:iCs/>
                <w:lang w:val="ru-RU" w:eastAsia="sr-Latn-RS"/>
              </w:rPr>
              <w:t>Аспекти хришћанске духовности у поезији српског романтизма</w:t>
            </w:r>
            <w:r w:rsidRPr="00E51BCA">
              <w:rPr>
                <w:lang w:val="ru-RU" w:eastAsia="sr-Latn-RS"/>
              </w:rPr>
              <w:t>, Филозофски факултет Универзитета у Нишу</w:t>
            </w:r>
          </w:p>
        </w:tc>
        <w:tc>
          <w:tcPr>
            <w:tcW w:w="998" w:type="dxa"/>
            <w:shd w:val="clear" w:color="auto" w:fill="auto"/>
          </w:tcPr>
          <w:p w14:paraId="02E3A533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7245378B" w14:textId="3FC53850" w:rsidR="00EA0590" w:rsidRPr="00135133" w:rsidRDefault="00135133" w:rsidP="0041648B">
            <w:pPr>
              <w:rPr>
                <w:highlight w:val="yellow"/>
                <w:lang w:val="sr-Cyrl-RS"/>
              </w:rPr>
            </w:pPr>
            <w:r w:rsidRPr="00135133">
              <w:rPr>
                <w:lang w:val="sr-Cyrl-RS"/>
              </w:rPr>
              <w:t>23.03.2017.</w:t>
            </w:r>
          </w:p>
        </w:tc>
      </w:tr>
      <w:tr w:rsidR="00EA0590" w14:paraId="4DA973CE" w14:textId="77777777" w:rsidTr="0041648B">
        <w:tc>
          <w:tcPr>
            <w:tcW w:w="561" w:type="dxa"/>
            <w:shd w:val="clear" w:color="auto" w:fill="D9D9D9"/>
          </w:tcPr>
          <w:p w14:paraId="573B8593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3.</w:t>
            </w:r>
          </w:p>
        </w:tc>
        <w:tc>
          <w:tcPr>
            <w:tcW w:w="8086" w:type="dxa"/>
            <w:shd w:val="clear" w:color="auto" w:fill="auto"/>
          </w:tcPr>
          <w:p w14:paraId="21803CF5" w14:textId="51A21F66" w:rsidR="00EA0590" w:rsidRPr="00B91B4C" w:rsidRDefault="006965E9" w:rsidP="0041648B">
            <w:pPr>
              <w:rPr>
                <w:highlight w:val="yellow"/>
              </w:rPr>
            </w:pPr>
            <w:r w:rsidRPr="00E51BCA">
              <w:rPr>
                <w:lang w:val="ru-RU" w:eastAsia="sr-Latn-RS"/>
              </w:rPr>
              <w:t xml:space="preserve">Јасмина Јовић, </w:t>
            </w:r>
            <w:r w:rsidRPr="00E51BCA">
              <w:rPr>
                <w:i/>
                <w:iCs/>
                <w:lang w:val="ru-RU" w:eastAsia="sr-Latn-RS"/>
              </w:rPr>
              <w:t>Уметничка слика града у прози српског реализма</w:t>
            </w:r>
            <w:r w:rsidRPr="00E51BCA">
              <w:rPr>
                <w:lang w:val="ru-RU" w:eastAsia="sr-Latn-RS"/>
              </w:rPr>
              <w:t>, Филозофски факултет Универзитета у Нишу</w:t>
            </w:r>
          </w:p>
        </w:tc>
        <w:tc>
          <w:tcPr>
            <w:tcW w:w="998" w:type="dxa"/>
            <w:shd w:val="clear" w:color="auto" w:fill="auto"/>
          </w:tcPr>
          <w:p w14:paraId="4FAF53B3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142AEBEC" w14:textId="76F32C1D" w:rsidR="00EA0590" w:rsidRPr="006965E9" w:rsidRDefault="006965E9" w:rsidP="0041648B">
            <w:pPr>
              <w:rPr>
                <w:highlight w:val="yellow"/>
                <w:lang w:val="sr-Cyrl-RS"/>
              </w:rPr>
            </w:pPr>
            <w:r w:rsidRPr="006965E9">
              <w:rPr>
                <w:lang w:val="sr-Cyrl-RS"/>
              </w:rPr>
              <w:t>15.06.2018.</w:t>
            </w:r>
          </w:p>
        </w:tc>
      </w:tr>
      <w:tr w:rsidR="00EA0590" w14:paraId="2DC77466" w14:textId="77777777" w:rsidTr="0041648B">
        <w:tc>
          <w:tcPr>
            <w:tcW w:w="561" w:type="dxa"/>
            <w:shd w:val="clear" w:color="auto" w:fill="D9D9D9"/>
          </w:tcPr>
          <w:p w14:paraId="78CC9314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4.</w:t>
            </w:r>
          </w:p>
        </w:tc>
        <w:tc>
          <w:tcPr>
            <w:tcW w:w="8086" w:type="dxa"/>
            <w:shd w:val="clear" w:color="auto" w:fill="auto"/>
          </w:tcPr>
          <w:p w14:paraId="5B336006" w14:textId="0C737615" w:rsidR="00EA0590" w:rsidRPr="00B91B4C" w:rsidRDefault="00A81858" w:rsidP="0041648B">
            <w:pPr>
              <w:rPr>
                <w:highlight w:val="yellow"/>
              </w:rPr>
            </w:pPr>
            <w:r w:rsidRPr="00E51BCA">
              <w:rPr>
                <w:lang w:val="ru-RU" w:eastAsia="sr-Latn-RS"/>
              </w:rPr>
              <w:t xml:space="preserve">Биљана Солеша, </w:t>
            </w:r>
            <w:r w:rsidRPr="00E51BCA">
              <w:rPr>
                <w:i/>
                <w:iCs/>
                <w:lang w:val="ru-RU" w:eastAsia="sr-Latn-RS"/>
              </w:rPr>
              <w:t>Трагично у приповеци српског реализма</w:t>
            </w:r>
            <w:r w:rsidRPr="00E51BCA">
              <w:rPr>
                <w:lang w:val="ru-RU" w:eastAsia="sr-Latn-RS"/>
              </w:rPr>
              <w:t>, Филозофски факултет Универзитета у Нишу</w:t>
            </w:r>
          </w:p>
        </w:tc>
        <w:tc>
          <w:tcPr>
            <w:tcW w:w="998" w:type="dxa"/>
            <w:shd w:val="clear" w:color="auto" w:fill="auto"/>
          </w:tcPr>
          <w:p w14:paraId="5CF7A676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23B9E65E" w14:textId="5ADF8368" w:rsidR="00EA0590" w:rsidRPr="00A81858" w:rsidRDefault="00A81858" w:rsidP="0041648B">
            <w:pPr>
              <w:rPr>
                <w:highlight w:val="yellow"/>
                <w:lang w:val="sr-Cyrl-RS"/>
              </w:rPr>
            </w:pPr>
            <w:r w:rsidRPr="00A81858">
              <w:rPr>
                <w:lang w:val="sr-Cyrl-RS"/>
              </w:rPr>
              <w:t>22.11.2019.</w:t>
            </w:r>
          </w:p>
        </w:tc>
      </w:tr>
    </w:tbl>
    <w:p w14:paraId="57C93522" w14:textId="77777777" w:rsidR="00EA0590" w:rsidRPr="005D659E" w:rsidRDefault="00EA0590" w:rsidP="00EA0590">
      <w:pPr>
        <w:rPr>
          <w:vanish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6"/>
        <w:gridCol w:w="181"/>
        <w:gridCol w:w="1799"/>
        <w:gridCol w:w="1080"/>
        <w:gridCol w:w="538"/>
        <w:gridCol w:w="2881"/>
        <w:gridCol w:w="1620"/>
        <w:gridCol w:w="1260"/>
        <w:gridCol w:w="540"/>
        <w:gridCol w:w="521"/>
      </w:tblGrid>
      <w:tr w:rsidR="00EA0590" w:rsidRPr="0082465B" w14:paraId="6B65F033" w14:textId="77777777" w:rsidTr="0041648B">
        <w:trPr>
          <w:trHeight w:val="340"/>
          <w:jc w:val="center"/>
        </w:trPr>
        <w:tc>
          <w:tcPr>
            <w:tcW w:w="9725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D084F83" w14:textId="77777777" w:rsidR="00EA0590" w:rsidRPr="0082465B" w:rsidRDefault="00EA0590" w:rsidP="0041648B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22DF3F97" w14:textId="77777777" w:rsidR="00EA0590" w:rsidRPr="00870273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70273">
              <w:rPr>
                <w:b/>
                <w:sz w:val="20"/>
                <w:szCs w:val="20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9974604" w14:textId="77777777" w:rsidR="00EA0590" w:rsidRPr="00870273" w:rsidRDefault="00EA0590" w:rsidP="0041648B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870273">
              <w:rPr>
                <w:bCs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26D82014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auto"/>
            <w:vAlign w:val="center"/>
          </w:tcPr>
          <w:p w14:paraId="40BCD22F" w14:textId="77777777" w:rsidR="00EA0590" w:rsidRPr="0082465B" w:rsidRDefault="00EA0590" w:rsidP="0041648B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EA0590" w:rsidRPr="0082465B" w14:paraId="38543E40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4C537249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82465B" w14:paraId="63E77C29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2E4EE0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738C2EAC" w14:textId="0859FDA8" w:rsidR="00EA0590" w:rsidRPr="00DC7992" w:rsidRDefault="007E1FCA" w:rsidP="0041648B">
            <w:pPr>
              <w:rPr>
                <w:lang w:val="sr-Cyrl-RS"/>
              </w:rPr>
            </w:pPr>
            <w:r>
              <w:rPr>
                <w:i/>
                <w:iCs/>
                <w:lang w:val="ru-RU"/>
              </w:rPr>
              <w:t xml:space="preserve"> </w:t>
            </w:r>
            <w:r w:rsidR="00FA23CD" w:rsidRPr="00F0345A">
              <w:rPr>
                <w:i/>
                <w:iCs/>
                <w:lang w:val="ru-RU"/>
              </w:rPr>
              <w:t>Дела Бранислава Нушића у трансмедијалном контексту</w:t>
            </w:r>
            <w:r w:rsidR="00DC7992" w:rsidRPr="00F0345A">
              <w:rPr>
                <w:i/>
                <w:iCs/>
              </w:rPr>
              <w:t xml:space="preserve"> </w:t>
            </w:r>
          </w:p>
        </w:tc>
      </w:tr>
      <w:tr w:rsidR="00EA0590" w:rsidRPr="0082465B" w14:paraId="1115F99F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2931E84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21067DD4" w14:textId="68D2B89D" w:rsidR="00EA0590" w:rsidRPr="0082465B" w:rsidRDefault="00DC7992" w:rsidP="0041648B">
            <w:pPr>
              <w:rPr>
                <w:lang w:val="ru-RU"/>
              </w:rPr>
            </w:pPr>
            <w:r>
              <w:rPr>
                <w:lang w:val="sr-Cyrl-RS"/>
              </w:rPr>
              <w:t>Друштвене и хуманистичке науке</w:t>
            </w:r>
          </w:p>
        </w:tc>
      </w:tr>
      <w:tr w:rsidR="00EA0590" w:rsidRPr="0082465B" w14:paraId="2C9BF45A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31606CE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4F0FCF99" w14:textId="46CEF9F2" w:rsidR="00EA0590" w:rsidRPr="0082465B" w:rsidRDefault="00DC7992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Српска књижевност</w:t>
            </w:r>
          </w:p>
        </w:tc>
      </w:tr>
      <w:tr w:rsidR="00EA0590" w:rsidRPr="0082465B" w14:paraId="7CBC1F48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5F9FD61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127A6688" w14:textId="410FDE38" w:rsidR="00EA0590" w:rsidRPr="0082465B" w:rsidRDefault="007E1FCA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Српски реализам</w:t>
            </w:r>
          </w:p>
        </w:tc>
      </w:tr>
      <w:tr w:rsidR="00EA0590" w:rsidRPr="0082465B" w14:paraId="7B173005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8090FFB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6EB6EFB7" w14:textId="5C8B91D7" w:rsidR="00EA0590" w:rsidRPr="0082465B" w:rsidRDefault="007E1FCA" w:rsidP="0041648B">
            <w:pPr>
              <w:rPr>
                <w:lang w:val="ru-RU"/>
              </w:rPr>
            </w:pPr>
            <w:r>
              <w:rPr>
                <w:lang w:val="ru-RU"/>
              </w:rPr>
              <w:t>Теорија књижевности</w:t>
            </w:r>
          </w:p>
        </w:tc>
      </w:tr>
      <w:tr w:rsidR="00EA0590" w:rsidRPr="0082465B" w14:paraId="43E16B4B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439A296D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0C340CF3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EA0590" w:rsidRPr="0082465B" w14:paraId="11A9CD84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1EA9E3D2" w14:textId="37DA861A" w:rsidR="001C63E6" w:rsidRPr="00891307" w:rsidRDefault="001C63E6" w:rsidP="001E2C91">
            <w:pPr>
              <w:ind w:firstLine="720"/>
              <w:rPr>
                <w:lang w:val="sr-Cyrl-RS" w:eastAsia="sr-Cyrl-CS"/>
              </w:rPr>
            </w:pPr>
            <w:r w:rsidRPr="00891307">
              <w:rPr>
                <w:lang w:val="sr-Cyrl-RS" w:eastAsia="sr-Cyrl-CS"/>
              </w:rPr>
              <w:t>Планирано истраживањ</w:t>
            </w:r>
            <w:r w:rsidR="00A810A1">
              <w:rPr>
                <w:lang w:val="sr-Cyrl-RS" w:eastAsia="sr-Cyrl-CS"/>
              </w:rPr>
              <w:t>е</w:t>
            </w:r>
            <w:r w:rsidRPr="00891307">
              <w:rPr>
                <w:lang w:val="sr-Cyrl-RS" w:eastAsia="sr-Cyrl-CS"/>
              </w:rPr>
              <w:t xml:space="preserve"> </w:t>
            </w:r>
            <w:r w:rsidR="00377F02" w:rsidRPr="00891307">
              <w:rPr>
                <w:lang w:val="sr-Cyrl-RS" w:eastAsia="sr-Cyrl-CS"/>
              </w:rPr>
              <w:t>утемељен</w:t>
            </w:r>
            <w:r w:rsidR="00A810A1">
              <w:rPr>
                <w:lang w:val="sr-Cyrl-RS" w:eastAsia="sr-Cyrl-CS"/>
              </w:rPr>
              <w:t>о</w:t>
            </w:r>
            <w:r w:rsidR="00377F02" w:rsidRPr="00891307">
              <w:rPr>
                <w:lang w:val="sr-Cyrl-RS" w:eastAsia="sr-Cyrl-CS"/>
              </w:rPr>
              <w:t xml:space="preserve"> је на </w:t>
            </w:r>
            <w:r w:rsidRPr="00891307">
              <w:rPr>
                <w:lang w:val="sr-Cyrl-RS" w:eastAsia="sr-Cyrl-CS"/>
              </w:rPr>
              <w:t>хумористичк</w:t>
            </w:r>
            <w:r w:rsidR="00377F02" w:rsidRPr="00891307">
              <w:rPr>
                <w:lang w:val="sr-Cyrl-RS" w:eastAsia="sr-Cyrl-CS"/>
              </w:rPr>
              <w:t>им</w:t>
            </w:r>
            <w:r w:rsidRPr="00891307">
              <w:rPr>
                <w:lang w:val="sr-Cyrl-RS" w:eastAsia="sr-Cyrl-CS"/>
              </w:rPr>
              <w:t xml:space="preserve"> д</w:t>
            </w:r>
            <w:r w:rsidR="00DC3656">
              <w:rPr>
                <w:lang w:val="sr-Cyrl-RS" w:eastAsia="sr-Cyrl-CS"/>
              </w:rPr>
              <w:t>ј</w:t>
            </w:r>
            <w:r w:rsidRPr="00891307">
              <w:rPr>
                <w:lang w:val="sr-Cyrl-RS" w:eastAsia="sr-Cyrl-CS"/>
              </w:rPr>
              <w:t>ел</w:t>
            </w:r>
            <w:r w:rsidR="00377F02" w:rsidRPr="00891307">
              <w:rPr>
                <w:lang w:val="sr-Cyrl-RS" w:eastAsia="sr-Cyrl-CS"/>
              </w:rPr>
              <w:t>има</w:t>
            </w:r>
            <w:r w:rsidRPr="00891307">
              <w:rPr>
                <w:lang w:val="sr-Cyrl-RS" w:eastAsia="sr-Cyrl-CS"/>
              </w:rPr>
              <w:t xml:space="preserve"> (припове</w:t>
            </w:r>
            <w:r w:rsidR="001D4690" w:rsidRPr="00891307">
              <w:rPr>
                <w:lang w:val="sr-Cyrl-RS" w:eastAsia="sr-Cyrl-CS"/>
              </w:rPr>
              <w:t xml:space="preserve">тке, романи, </w:t>
            </w:r>
            <w:r w:rsidRPr="00891307">
              <w:rPr>
                <w:lang w:val="sr-Cyrl-RS" w:eastAsia="sr-Cyrl-CS"/>
              </w:rPr>
              <w:t>„мале сцене“ и комедије)</w:t>
            </w:r>
            <w:r w:rsidR="001D4690" w:rsidRPr="00891307">
              <w:rPr>
                <w:lang w:val="sr-Cyrl-RS" w:eastAsia="sr-Cyrl-CS"/>
              </w:rPr>
              <w:t>, као и на историјским</w:t>
            </w:r>
            <w:r w:rsidRPr="00891307">
              <w:rPr>
                <w:lang w:val="sr-Cyrl-RS" w:eastAsia="sr-Cyrl-CS"/>
              </w:rPr>
              <w:t xml:space="preserve"> </w:t>
            </w:r>
            <w:r w:rsidR="001D4690" w:rsidRPr="00891307">
              <w:rPr>
                <w:lang w:val="sr-Cyrl-RS" w:eastAsia="sr-Cyrl-CS"/>
              </w:rPr>
              <w:t xml:space="preserve">драмама </w:t>
            </w:r>
            <w:r w:rsidRPr="00891307">
              <w:rPr>
                <w:lang w:val="sr-Cyrl-RS" w:eastAsia="sr-Cyrl-CS"/>
              </w:rPr>
              <w:t xml:space="preserve">Бранислава Нушића, </w:t>
            </w:r>
            <w:r w:rsidR="001D4690" w:rsidRPr="00891307">
              <w:rPr>
                <w:lang w:val="sr-Cyrl-RS" w:eastAsia="sr-Cyrl-CS"/>
              </w:rPr>
              <w:t>који су доживјели бројне позоришне, а потом и друге умјетничке адаптације, попут телевизијских серија и играних филмова</w:t>
            </w:r>
            <w:r w:rsidRPr="00891307">
              <w:rPr>
                <w:lang w:val="sr-Cyrl-RS" w:eastAsia="sr-Cyrl-CS"/>
              </w:rPr>
              <w:t xml:space="preserve">. </w:t>
            </w:r>
            <w:r w:rsidR="00A00F0F" w:rsidRPr="00891307">
              <w:rPr>
                <w:lang w:val="sr-Cyrl-RS" w:eastAsia="sr-Cyrl-CS"/>
              </w:rPr>
              <w:t xml:space="preserve">Посебно ће бити издвојене комедије: </w:t>
            </w:r>
            <w:r w:rsidR="00A00F0F" w:rsidRPr="00891307">
              <w:rPr>
                <w:i/>
                <w:iCs/>
                <w:lang w:val="sr-Cyrl-RS" w:eastAsia="sr-Cyrl-CS"/>
              </w:rPr>
              <w:t>Народни посланик, Сумњиво лице, Протекција, Пут око света, Госпођа министарка, Ожалошћена породица,</w:t>
            </w:r>
            <w:r w:rsidR="00A00F0F" w:rsidRPr="00891307">
              <w:rPr>
                <w:lang w:val="sr-Cyrl-RS" w:eastAsia="sr-Cyrl-CS"/>
              </w:rPr>
              <w:t xml:space="preserve"> </w:t>
            </w:r>
            <w:r w:rsidR="00A00F0F" w:rsidRPr="00891307">
              <w:rPr>
                <w:i/>
                <w:iCs/>
                <w:lang w:val="sr-Cyrl-RS" w:eastAsia="sr-Cyrl-CS"/>
              </w:rPr>
              <w:t xml:space="preserve">Др, Мистер долар, Покојник, Власт </w:t>
            </w:r>
            <w:r w:rsidR="00A00F0F" w:rsidRPr="00891307">
              <w:rPr>
                <w:lang w:val="sr-Cyrl-RS" w:eastAsia="sr-Cyrl-CS"/>
              </w:rPr>
              <w:t xml:space="preserve">и сл. Биће указано и на романе </w:t>
            </w:r>
            <w:r w:rsidR="00A00F0F" w:rsidRPr="00891307">
              <w:rPr>
                <w:i/>
                <w:iCs/>
                <w:lang w:val="sr-Cyrl-RS" w:eastAsia="sr-Cyrl-CS"/>
              </w:rPr>
              <w:t>Општинско дете, Аутобиографија, Хајдуци</w:t>
            </w:r>
            <w:r w:rsidR="00A00F0F" w:rsidRPr="00891307">
              <w:rPr>
                <w:lang w:val="sr-Cyrl-RS" w:eastAsia="sr-Cyrl-CS"/>
              </w:rPr>
              <w:t xml:space="preserve">, као и на историјску драму </w:t>
            </w:r>
            <w:r w:rsidR="00A00F0F" w:rsidRPr="00891307">
              <w:rPr>
                <w:i/>
                <w:iCs/>
                <w:lang w:val="sr-Cyrl-RS" w:eastAsia="sr-Cyrl-CS"/>
              </w:rPr>
              <w:t>Хаџи-Лојо</w:t>
            </w:r>
            <w:r w:rsidR="00A00F0F" w:rsidRPr="00891307">
              <w:rPr>
                <w:lang w:val="sr-Cyrl-RS" w:eastAsia="sr-Cyrl-CS"/>
              </w:rPr>
              <w:t xml:space="preserve">. </w:t>
            </w:r>
            <w:r w:rsidR="005C602E" w:rsidRPr="00891307">
              <w:rPr>
                <w:lang w:val="sr-Cyrl-RS" w:eastAsia="sr-Cyrl-CS"/>
              </w:rPr>
              <w:t xml:space="preserve">При томе ће бити </w:t>
            </w:r>
            <w:r w:rsidR="00A00F0F" w:rsidRPr="00891307">
              <w:rPr>
                <w:lang w:val="sr-Cyrl-RS" w:eastAsia="sr-Cyrl-CS"/>
              </w:rPr>
              <w:t xml:space="preserve">анализирани </w:t>
            </w:r>
            <w:r w:rsidR="005C602E" w:rsidRPr="00891307">
              <w:rPr>
                <w:lang w:val="sr-Cyrl-RS" w:eastAsia="sr-Cyrl-CS"/>
              </w:rPr>
              <w:t>композицион</w:t>
            </w:r>
            <w:r w:rsidR="00A00F0F" w:rsidRPr="00891307">
              <w:rPr>
                <w:lang w:val="sr-Cyrl-RS" w:eastAsia="sr-Cyrl-CS"/>
              </w:rPr>
              <w:t>и</w:t>
            </w:r>
            <w:r w:rsidR="005C602E" w:rsidRPr="00891307">
              <w:rPr>
                <w:lang w:val="sr-Cyrl-RS" w:eastAsia="sr-Cyrl-CS"/>
              </w:rPr>
              <w:t xml:space="preserve"> поступ</w:t>
            </w:r>
            <w:r w:rsidR="00A00F0F" w:rsidRPr="00891307">
              <w:rPr>
                <w:lang w:val="sr-Cyrl-RS" w:eastAsia="sr-Cyrl-CS"/>
              </w:rPr>
              <w:t>ци</w:t>
            </w:r>
            <w:r w:rsidR="00077C9F" w:rsidRPr="00891307">
              <w:rPr>
                <w:lang w:val="sr-Cyrl-RS" w:eastAsia="sr-Cyrl-CS"/>
              </w:rPr>
              <w:t xml:space="preserve"> (експозиције, заплет</w:t>
            </w:r>
            <w:r w:rsidR="00A00F0F" w:rsidRPr="00891307">
              <w:rPr>
                <w:lang w:val="sr-Cyrl-RS" w:eastAsia="sr-Cyrl-CS"/>
              </w:rPr>
              <w:t>и</w:t>
            </w:r>
            <w:r w:rsidR="00077C9F" w:rsidRPr="00891307">
              <w:rPr>
                <w:lang w:val="sr-Cyrl-RS" w:eastAsia="sr-Cyrl-CS"/>
              </w:rPr>
              <w:t>, кулминације и расплет</w:t>
            </w:r>
            <w:r w:rsidR="00A00F0F" w:rsidRPr="00891307">
              <w:rPr>
                <w:lang w:val="sr-Cyrl-RS" w:eastAsia="sr-Cyrl-CS"/>
              </w:rPr>
              <w:t>и</w:t>
            </w:r>
            <w:r w:rsidR="00077C9F" w:rsidRPr="00891307">
              <w:rPr>
                <w:lang w:val="sr-Cyrl-RS" w:eastAsia="sr-Cyrl-CS"/>
              </w:rPr>
              <w:t xml:space="preserve">), </w:t>
            </w:r>
            <w:r w:rsidR="00A00F0F" w:rsidRPr="00891307">
              <w:rPr>
                <w:lang w:val="sr-Cyrl-RS" w:eastAsia="sr-Cyrl-CS"/>
              </w:rPr>
              <w:t>разнолики в</w:t>
            </w:r>
            <w:r w:rsidRPr="00891307">
              <w:rPr>
                <w:lang w:val="sr-Cyrl-RS" w:eastAsia="sr-Cyrl-CS"/>
              </w:rPr>
              <w:t>идов</w:t>
            </w:r>
            <w:r w:rsidR="00A00F0F" w:rsidRPr="00891307">
              <w:rPr>
                <w:lang w:val="sr-Cyrl-RS" w:eastAsia="sr-Cyrl-CS"/>
              </w:rPr>
              <w:t>и</w:t>
            </w:r>
            <w:r w:rsidRPr="00891307">
              <w:rPr>
                <w:lang w:val="sr-Cyrl-RS" w:eastAsia="sr-Cyrl-CS"/>
              </w:rPr>
              <w:t xml:space="preserve"> к</w:t>
            </w:r>
            <w:r w:rsidR="00077C9F" w:rsidRPr="00891307">
              <w:rPr>
                <w:lang w:val="sr-Cyrl-RS" w:eastAsia="sr-Cyrl-CS"/>
              </w:rPr>
              <w:t>арактеризације књижевних/позоришних/филмских јунака</w:t>
            </w:r>
            <w:r w:rsidRPr="00891307">
              <w:rPr>
                <w:lang w:val="sr-Cyrl-RS" w:eastAsia="sr-Cyrl-CS"/>
              </w:rPr>
              <w:t xml:space="preserve">, </w:t>
            </w:r>
            <w:r w:rsidR="00077C9F" w:rsidRPr="00891307">
              <w:rPr>
                <w:lang w:val="sr-Cyrl-RS" w:eastAsia="sr-Cyrl-CS"/>
              </w:rPr>
              <w:t xml:space="preserve">као и друштвени контекст и специфичност одабраних књижевних тема (политички живот, породични односи, паланачке страсти, </w:t>
            </w:r>
            <w:r w:rsidR="00A00F0F" w:rsidRPr="00891307">
              <w:rPr>
                <w:lang w:val="sr-Cyrl-RS" w:eastAsia="sr-Cyrl-CS"/>
              </w:rPr>
              <w:t xml:space="preserve">љубавни неспоразуми, проблеми школског система и уџбеника, </w:t>
            </w:r>
            <w:r w:rsidR="00077C9F" w:rsidRPr="00891307">
              <w:rPr>
                <w:lang w:val="sr-Cyrl-RS" w:eastAsia="sr-Cyrl-CS"/>
              </w:rPr>
              <w:t>нереалне амбиције и сл.).</w:t>
            </w:r>
            <w:r w:rsidRPr="00891307">
              <w:rPr>
                <w:lang w:val="sr-Cyrl-RS" w:eastAsia="sr-Cyrl-CS"/>
              </w:rPr>
              <w:t xml:space="preserve"> У</w:t>
            </w:r>
            <w:r w:rsidR="00A00F0F" w:rsidRPr="00891307">
              <w:rPr>
                <w:lang w:val="sr-Cyrl-RS" w:eastAsia="sr-Cyrl-CS"/>
              </w:rPr>
              <w:t xml:space="preserve">право у анализи друштвеног контекста у </w:t>
            </w:r>
            <w:r w:rsidRPr="00891307">
              <w:rPr>
                <w:lang w:val="sr-Cyrl-RS" w:eastAsia="sr-Cyrl-CS"/>
              </w:rPr>
              <w:t>Нушићево</w:t>
            </w:r>
            <w:r w:rsidR="00A00F0F" w:rsidRPr="00891307">
              <w:rPr>
                <w:lang w:val="sr-Cyrl-RS" w:eastAsia="sr-Cyrl-CS"/>
              </w:rPr>
              <w:t>м д</w:t>
            </w:r>
            <w:r w:rsidR="00865D0D">
              <w:rPr>
                <w:lang w:val="sr-Cyrl-RS" w:eastAsia="sr-Cyrl-CS"/>
              </w:rPr>
              <w:t>ј</w:t>
            </w:r>
            <w:r w:rsidR="00A00F0F" w:rsidRPr="00891307">
              <w:rPr>
                <w:lang w:val="sr-Cyrl-RS" w:eastAsia="sr-Cyrl-CS"/>
              </w:rPr>
              <w:t>елу</w:t>
            </w:r>
            <w:r w:rsidRPr="00891307">
              <w:rPr>
                <w:lang w:val="sr-Cyrl-RS" w:eastAsia="sr-Cyrl-CS"/>
              </w:rPr>
              <w:t xml:space="preserve"> </w:t>
            </w:r>
            <w:r w:rsidR="00A00F0F" w:rsidRPr="00891307">
              <w:rPr>
                <w:lang w:val="sr-Cyrl-RS" w:eastAsia="sr-Cyrl-CS"/>
              </w:rPr>
              <w:t xml:space="preserve">садржане су и основне црте </w:t>
            </w:r>
            <w:r w:rsidR="00E10C8C" w:rsidRPr="00891307">
              <w:rPr>
                <w:lang w:val="sr-Cyrl-RS" w:eastAsia="sr-Cyrl-CS"/>
              </w:rPr>
              <w:t>ум</w:t>
            </w:r>
            <w:r w:rsidR="00865D0D">
              <w:rPr>
                <w:lang w:val="sr-Cyrl-RS" w:eastAsia="sr-Cyrl-CS"/>
              </w:rPr>
              <w:t>ј</w:t>
            </w:r>
            <w:r w:rsidR="00E10C8C" w:rsidRPr="00891307">
              <w:rPr>
                <w:lang w:val="sr-Cyrl-RS" w:eastAsia="sr-Cyrl-CS"/>
              </w:rPr>
              <w:t>етничке, а посебно трансмедијалне актуелности ц</w:t>
            </w:r>
            <w:r w:rsidR="00865D0D">
              <w:rPr>
                <w:lang w:val="sr-Cyrl-RS" w:eastAsia="sr-Cyrl-CS"/>
              </w:rPr>
              <w:t>ј</w:t>
            </w:r>
            <w:r w:rsidR="00E10C8C" w:rsidRPr="00891307">
              <w:rPr>
                <w:lang w:val="sr-Cyrl-RS" w:eastAsia="sr-Cyrl-CS"/>
              </w:rPr>
              <w:t>елокупног д</w:t>
            </w:r>
            <w:r w:rsidR="00865D0D">
              <w:rPr>
                <w:lang w:val="sr-Cyrl-RS" w:eastAsia="sr-Cyrl-CS"/>
              </w:rPr>
              <w:t>ј</w:t>
            </w:r>
            <w:r w:rsidR="00E10C8C" w:rsidRPr="00891307">
              <w:rPr>
                <w:lang w:val="sr-Cyrl-RS" w:eastAsia="sr-Cyrl-CS"/>
              </w:rPr>
              <w:t>ела овога писца.</w:t>
            </w:r>
            <w:r w:rsidRPr="00891307">
              <w:rPr>
                <w:lang w:val="sr-Cyrl-RS" w:eastAsia="sr-Cyrl-CS"/>
              </w:rPr>
              <w:t xml:space="preserve"> </w:t>
            </w:r>
            <w:r w:rsidR="00E10C8C" w:rsidRPr="00891307">
              <w:rPr>
                <w:lang w:val="sr-Cyrl-RS" w:eastAsia="sr-Cyrl-CS"/>
              </w:rPr>
              <w:t xml:space="preserve">Нарочито су </w:t>
            </w:r>
            <w:r w:rsidRPr="00891307">
              <w:rPr>
                <w:lang w:val="sr-Cyrl-RS" w:eastAsia="sr-Cyrl-CS"/>
              </w:rPr>
              <w:t xml:space="preserve">Нушићеве комедије </w:t>
            </w:r>
            <w:r w:rsidR="00E10C8C" w:rsidRPr="00891307">
              <w:rPr>
                <w:lang w:val="sr-Cyrl-RS" w:eastAsia="sr-Cyrl-CS"/>
              </w:rPr>
              <w:t>дожив</w:t>
            </w:r>
            <w:r w:rsidR="00865D0D">
              <w:rPr>
                <w:lang w:val="sr-Cyrl-RS" w:eastAsia="sr-Cyrl-CS"/>
              </w:rPr>
              <w:t>ј</w:t>
            </w:r>
            <w:r w:rsidR="00E10C8C" w:rsidRPr="00891307">
              <w:rPr>
                <w:lang w:val="sr-Cyrl-RS" w:eastAsia="sr-Cyrl-CS"/>
              </w:rPr>
              <w:t xml:space="preserve">еле бројне </w:t>
            </w:r>
            <w:r w:rsidRPr="00891307">
              <w:rPr>
                <w:lang w:val="sr-Cyrl-RS" w:eastAsia="sr-Cyrl-CS"/>
              </w:rPr>
              <w:t>позоришн</w:t>
            </w:r>
            <w:r w:rsidR="00E10C8C" w:rsidRPr="00891307">
              <w:rPr>
                <w:lang w:val="sr-Cyrl-RS" w:eastAsia="sr-Cyrl-CS"/>
              </w:rPr>
              <w:t>е</w:t>
            </w:r>
            <w:r w:rsidRPr="00891307">
              <w:rPr>
                <w:lang w:val="sr-Cyrl-RS" w:eastAsia="sr-Cyrl-CS"/>
              </w:rPr>
              <w:t xml:space="preserve"> </w:t>
            </w:r>
            <w:r w:rsidR="00FB05F2" w:rsidRPr="00891307">
              <w:rPr>
                <w:lang w:val="sr-Cyrl-RS" w:eastAsia="sr-Cyrl-CS"/>
              </w:rPr>
              <w:t xml:space="preserve">адаптације (најизразитије </w:t>
            </w:r>
            <w:r w:rsidR="00FB05F2" w:rsidRPr="00891307">
              <w:rPr>
                <w:i/>
                <w:iCs/>
                <w:lang w:val="sr-Cyrl-RS" w:eastAsia="sr-Cyrl-CS"/>
              </w:rPr>
              <w:t xml:space="preserve">Сумњиво лице </w:t>
            </w:r>
            <w:r w:rsidR="00FB05F2" w:rsidRPr="00891307">
              <w:rPr>
                <w:lang w:val="sr-Cyrl-RS" w:eastAsia="sr-Cyrl-CS"/>
              </w:rPr>
              <w:t xml:space="preserve">и </w:t>
            </w:r>
            <w:r w:rsidR="00FB05F2" w:rsidRPr="00891307">
              <w:rPr>
                <w:i/>
                <w:iCs/>
                <w:lang w:val="sr-Cyrl-RS" w:eastAsia="sr-Cyrl-CS"/>
              </w:rPr>
              <w:t>Госпођа министарка</w:t>
            </w:r>
            <w:r w:rsidR="00FB05F2" w:rsidRPr="00891307">
              <w:rPr>
                <w:lang w:val="sr-Cyrl-RS" w:eastAsia="sr-Cyrl-CS"/>
              </w:rPr>
              <w:t>), док су телевизијске и филмске адаптације најпотпуније исказане у дв</w:t>
            </w:r>
            <w:r w:rsidR="00865D0D">
              <w:rPr>
                <w:lang w:val="sr-Cyrl-RS" w:eastAsia="sr-Cyrl-CS"/>
              </w:rPr>
              <w:t>иј</w:t>
            </w:r>
            <w:r w:rsidR="00FB05F2" w:rsidRPr="00891307">
              <w:rPr>
                <w:lang w:val="sr-Cyrl-RS" w:eastAsia="sr-Cyrl-CS"/>
              </w:rPr>
              <w:t xml:space="preserve">е верзије комедије </w:t>
            </w:r>
            <w:r w:rsidR="00FB05F2" w:rsidRPr="00891307">
              <w:rPr>
                <w:i/>
                <w:iCs/>
                <w:lang w:val="sr-Cyrl-RS" w:eastAsia="sr-Cyrl-CS"/>
              </w:rPr>
              <w:t>Госпођа министарка</w:t>
            </w:r>
            <w:r w:rsidR="00FB05F2" w:rsidRPr="00891307">
              <w:rPr>
                <w:lang w:val="sr-Cyrl-RS" w:eastAsia="sr-Cyrl-CS"/>
              </w:rPr>
              <w:t>, у којима су носиоци главне улоге Живке „министарке“ биле глумице Ружица Сокић и Милена Дравић.</w:t>
            </w:r>
            <w:r w:rsidRPr="00891307">
              <w:rPr>
                <w:lang w:val="sr-Cyrl-RS" w:eastAsia="sr-Cyrl-CS"/>
              </w:rPr>
              <w:t xml:space="preserve"> </w:t>
            </w:r>
          </w:p>
          <w:p w14:paraId="7695BCD6" w14:textId="675BE867" w:rsidR="001C63E6" w:rsidRPr="00891307" w:rsidRDefault="00C611D8" w:rsidP="001E2C91">
            <w:pPr>
              <w:ind w:firstLine="720"/>
              <w:rPr>
                <w:lang w:val="sr-Cyrl-RS" w:eastAsia="sr-Cyrl-CS"/>
              </w:rPr>
            </w:pPr>
            <w:r w:rsidRPr="00891307">
              <w:rPr>
                <w:lang w:val="sr-Cyrl-RS" w:eastAsia="sr-Cyrl-CS"/>
              </w:rPr>
              <w:t>Т</w:t>
            </w:r>
            <w:r w:rsidR="001C63E6" w:rsidRPr="00891307">
              <w:rPr>
                <w:lang w:val="sr-Cyrl-RS" w:eastAsia="sr-Cyrl-CS"/>
              </w:rPr>
              <w:t>рансмедијалн</w:t>
            </w:r>
            <w:r w:rsidRPr="00891307">
              <w:rPr>
                <w:lang w:val="sr-Cyrl-RS" w:eastAsia="sr-Cyrl-CS"/>
              </w:rPr>
              <w:t>и приступ</w:t>
            </w:r>
            <w:r w:rsidR="001C63E6" w:rsidRPr="00891307">
              <w:rPr>
                <w:lang w:val="sr-Cyrl-RS" w:eastAsia="sr-Cyrl-CS"/>
              </w:rPr>
              <w:t xml:space="preserve"> </w:t>
            </w:r>
            <w:r w:rsidRPr="00891307">
              <w:rPr>
                <w:lang w:val="sr-Cyrl-RS" w:eastAsia="sr-Cyrl-CS"/>
              </w:rPr>
              <w:t>биће заснован на</w:t>
            </w:r>
            <w:r w:rsidR="001C63E6" w:rsidRPr="00891307">
              <w:rPr>
                <w:lang w:val="sr-Cyrl-RS" w:eastAsia="sr-Cyrl-CS"/>
              </w:rPr>
              <w:t xml:space="preserve"> </w:t>
            </w:r>
            <w:r w:rsidR="00D32487" w:rsidRPr="00891307">
              <w:rPr>
                <w:lang w:val="sr-Cyrl-RS" w:eastAsia="sr-Cyrl-CS"/>
              </w:rPr>
              <w:t xml:space="preserve">актуелним </w:t>
            </w:r>
            <w:r w:rsidR="001C63E6" w:rsidRPr="00891307">
              <w:rPr>
                <w:lang w:val="sr-Cyrl-RS" w:eastAsia="sr-Cyrl-CS"/>
              </w:rPr>
              <w:t>теоријама</w:t>
            </w:r>
            <w:r w:rsidR="001C63E6" w:rsidRPr="00891307">
              <w:rPr>
                <w:lang w:val="sr-Cyrl-CS" w:eastAsia="sr-Cyrl-CS"/>
              </w:rPr>
              <w:t xml:space="preserve"> Мери-Лор Рајан, Дејвида Хермана и </w:t>
            </w:r>
            <w:r w:rsidRPr="00891307">
              <w:rPr>
                <w:lang w:val="sr-Cyrl-CS" w:eastAsia="sr-Cyrl-CS"/>
              </w:rPr>
              <w:t>Љубомира Долежела</w:t>
            </w:r>
            <w:r w:rsidR="00A810A1">
              <w:rPr>
                <w:lang w:val="sr-Cyrl-CS" w:eastAsia="sr-Cyrl-CS"/>
              </w:rPr>
              <w:t>.</w:t>
            </w:r>
            <w:r w:rsidR="00865D0D">
              <w:rPr>
                <w:lang w:val="sr-Cyrl-CS" w:eastAsia="sr-Cyrl-CS"/>
              </w:rPr>
              <w:t xml:space="preserve"> </w:t>
            </w:r>
            <w:r w:rsidR="00A810A1">
              <w:rPr>
                <w:lang w:val="sr-Cyrl-CS" w:eastAsia="sr-Cyrl-CS"/>
              </w:rPr>
              <w:t xml:space="preserve">При томе је </w:t>
            </w:r>
            <w:r w:rsidR="00D32487" w:rsidRPr="00891307">
              <w:rPr>
                <w:lang w:val="sr-Cyrl-CS" w:eastAsia="sr-Cyrl-CS"/>
              </w:rPr>
              <w:t xml:space="preserve">указано на </w:t>
            </w:r>
            <w:r w:rsidR="00A810A1">
              <w:rPr>
                <w:lang w:val="sr-Cyrl-CS" w:eastAsia="sr-Cyrl-CS"/>
              </w:rPr>
              <w:t>специфичности</w:t>
            </w:r>
            <w:r w:rsidR="001C63E6" w:rsidRPr="00891307">
              <w:rPr>
                <w:lang w:val="sr-Cyrl-RS" w:eastAsia="sr-Cyrl-CS"/>
              </w:rPr>
              <w:t xml:space="preserve"> </w:t>
            </w:r>
            <w:r w:rsidR="00D32487" w:rsidRPr="00891307">
              <w:rPr>
                <w:lang w:val="sr-Cyrl-RS" w:eastAsia="sr-Cyrl-CS"/>
              </w:rPr>
              <w:t xml:space="preserve">посткласичних </w:t>
            </w:r>
            <w:r w:rsidR="001C63E6" w:rsidRPr="00891307">
              <w:rPr>
                <w:lang w:val="sr-Cyrl-RS" w:eastAsia="sr-Cyrl-CS"/>
              </w:rPr>
              <w:t>наратологија</w:t>
            </w:r>
            <w:r w:rsidR="00D32487" w:rsidRPr="00891307">
              <w:rPr>
                <w:lang w:val="sr-Cyrl-RS" w:eastAsia="sr-Cyrl-CS"/>
              </w:rPr>
              <w:t xml:space="preserve">, међу којима је за ово истраживање посебно важна </w:t>
            </w:r>
            <w:r w:rsidR="001C63E6" w:rsidRPr="00891307">
              <w:rPr>
                <w:lang w:val="sr-Cyrl-RS" w:eastAsia="sr-Cyrl-CS"/>
              </w:rPr>
              <w:t xml:space="preserve">трансмедијална </w:t>
            </w:r>
            <w:r w:rsidR="00C13337" w:rsidRPr="00891307">
              <w:rPr>
                <w:lang w:val="sr-Cyrl-RS" w:eastAsia="sr-Cyrl-CS"/>
              </w:rPr>
              <w:t xml:space="preserve">наратологија која </w:t>
            </w:r>
            <w:r w:rsidR="001C63E6" w:rsidRPr="00891307">
              <w:rPr>
                <w:lang w:val="sr-Cyrl-RS" w:eastAsia="sr-Cyrl-CS"/>
              </w:rPr>
              <w:t>се бави начином преноса једног</w:t>
            </w:r>
            <w:r w:rsidR="00891307" w:rsidRPr="00891307">
              <w:rPr>
                <w:lang w:val="sr-Cyrl-RS" w:eastAsia="sr-Cyrl-CS"/>
              </w:rPr>
              <w:t xml:space="preserve"> ум</w:t>
            </w:r>
            <w:r w:rsidR="00A810A1">
              <w:rPr>
                <w:lang w:val="sr-Cyrl-RS" w:eastAsia="sr-Cyrl-CS"/>
              </w:rPr>
              <w:t>ј</w:t>
            </w:r>
            <w:r w:rsidR="00891307" w:rsidRPr="00891307">
              <w:rPr>
                <w:lang w:val="sr-Cyrl-RS" w:eastAsia="sr-Cyrl-CS"/>
              </w:rPr>
              <w:t xml:space="preserve">етничког </w:t>
            </w:r>
            <w:r w:rsidR="001C63E6" w:rsidRPr="00891307">
              <w:rPr>
                <w:lang w:val="sr-Cyrl-RS" w:eastAsia="sr-Cyrl-CS"/>
              </w:rPr>
              <w:t>св</w:t>
            </w:r>
            <w:r w:rsidR="00A810A1">
              <w:rPr>
                <w:lang w:val="sr-Cyrl-RS" w:eastAsia="sr-Cyrl-CS"/>
              </w:rPr>
              <w:t>иј</w:t>
            </w:r>
            <w:r w:rsidR="001C63E6" w:rsidRPr="00891307">
              <w:rPr>
                <w:lang w:val="sr-Cyrl-RS" w:eastAsia="sr-Cyrl-CS"/>
              </w:rPr>
              <w:t>ета кроз различит</w:t>
            </w:r>
            <w:r w:rsidR="00891307" w:rsidRPr="00891307">
              <w:rPr>
                <w:lang w:val="sr-Cyrl-RS" w:eastAsia="sr-Cyrl-CS"/>
              </w:rPr>
              <w:t>е</w:t>
            </w:r>
            <w:r w:rsidR="001C63E6" w:rsidRPr="00891307">
              <w:rPr>
                <w:lang w:val="sr-Cyrl-RS" w:eastAsia="sr-Cyrl-CS"/>
              </w:rPr>
              <w:t xml:space="preserve"> медиј</w:t>
            </w:r>
            <w:r w:rsidR="00891307" w:rsidRPr="00891307">
              <w:rPr>
                <w:lang w:val="sr-Cyrl-RS" w:eastAsia="sr-Cyrl-CS"/>
              </w:rPr>
              <w:t>е</w:t>
            </w:r>
            <w:r w:rsidR="001C63E6" w:rsidRPr="00891307">
              <w:rPr>
                <w:lang w:val="sr-Cyrl-RS" w:eastAsia="sr-Cyrl-CS"/>
              </w:rPr>
              <w:t>. Актуелности трансмедијалних истраживања нарочито је доприн</w:t>
            </w:r>
            <w:r w:rsidR="00865D0D">
              <w:rPr>
                <w:lang w:val="sr-Cyrl-RS" w:eastAsia="sr-Cyrl-CS"/>
              </w:rPr>
              <w:t>и</w:t>
            </w:r>
            <w:r w:rsidR="001C63E6" w:rsidRPr="00891307">
              <w:rPr>
                <w:lang w:val="sr-Cyrl-RS" w:eastAsia="sr-Cyrl-CS"/>
              </w:rPr>
              <w:t xml:space="preserve">о развој технологије и настанак нових медија – филма и телевизије. </w:t>
            </w:r>
            <w:r w:rsidR="00891307" w:rsidRPr="00891307">
              <w:rPr>
                <w:lang w:val="sr-Cyrl-RS" w:eastAsia="sr-Cyrl-CS"/>
              </w:rPr>
              <w:t xml:space="preserve">Интерпретативним поступком ће бити показано како </w:t>
            </w:r>
            <w:r w:rsidR="001C63E6" w:rsidRPr="00891307">
              <w:rPr>
                <w:lang w:val="sr-Cyrl-RS" w:eastAsia="sr-Cyrl-CS"/>
              </w:rPr>
              <w:t xml:space="preserve">настају </w:t>
            </w:r>
            <w:r w:rsidR="00891307" w:rsidRPr="00891307">
              <w:rPr>
                <w:lang w:val="sr-Cyrl-RS" w:eastAsia="sr-Cyrl-CS"/>
              </w:rPr>
              <w:t>пром</w:t>
            </w:r>
            <w:r w:rsidR="00A810A1">
              <w:rPr>
                <w:lang w:val="sr-Cyrl-RS" w:eastAsia="sr-Cyrl-CS"/>
              </w:rPr>
              <w:t>ј</w:t>
            </w:r>
            <w:r w:rsidR="00891307" w:rsidRPr="00891307">
              <w:rPr>
                <w:lang w:val="sr-Cyrl-RS" w:eastAsia="sr-Cyrl-CS"/>
              </w:rPr>
              <w:t xml:space="preserve">ене </w:t>
            </w:r>
            <w:r w:rsidR="001C63E6" w:rsidRPr="00891307">
              <w:rPr>
                <w:lang w:val="sr-Cyrl-RS" w:eastAsia="sr-Cyrl-CS"/>
              </w:rPr>
              <w:t xml:space="preserve">приликом адаптирања текста кроз нови медиј. </w:t>
            </w:r>
          </w:p>
          <w:p w14:paraId="39DDEBBF" w14:textId="22C46657" w:rsidR="00EA0590" w:rsidRPr="00B000DB" w:rsidRDefault="00901EAC" w:rsidP="00B000DB">
            <w:pPr>
              <w:ind w:firstLine="720"/>
              <w:rPr>
                <w:lang w:val="sr-Cyrl-RS" w:eastAsia="sr-Cyrl-CS"/>
              </w:rPr>
            </w:pPr>
            <w:r w:rsidRPr="00891307">
              <w:rPr>
                <w:lang w:val="sr-Cyrl-RS" w:eastAsia="sr-Cyrl-CS"/>
              </w:rPr>
              <w:t xml:space="preserve">Посебно </w:t>
            </w:r>
            <w:r w:rsidR="00891307" w:rsidRPr="00891307">
              <w:rPr>
                <w:lang w:val="sr-Cyrl-RS" w:eastAsia="sr-Cyrl-CS"/>
              </w:rPr>
              <w:t xml:space="preserve">аналитичко </w:t>
            </w:r>
            <w:r w:rsidRPr="00891307">
              <w:rPr>
                <w:lang w:val="sr-Cyrl-RS" w:eastAsia="sr-Cyrl-CS"/>
              </w:rPr>
              <w:t xml:space="preserve">поглавље биће посвећено визуелним медијима – позоришту, филму и телевизији. </w:t>
            </w:r>
            <w:r w:rsidR="00891307" w:rsidRPr="00891307">
              <w:rPr>
                <w:lang w:val="sr-Cyrl-RS" w:eastAsia="sr-Cyrl-CS"/>
              </w:rPr>
              <w:t xml:space="preserve">При томе ће бити указано на </w:t>
            </w:r>
            <w:r w:rsidRPr="00891307">
              <w:rPr>
                <w:lang w:val="sr-Cyrl-RS" w:eastAsia="sr-Cyrl-CS"/>
              </w:rPr>
              <w:t>њихове основне карактеристике</w:t>
            </w:r>
            <w:r w:rsidR="00891307" w:rsidRPr="00891307">
              <w:rPr>
                <w:lang w:val="sr-Cyrl-RS" w:eastAsia="sr-Cyrl-CS"/>
              </w:rPr>
              <w:t xml:space="preserve"> проист</w:t>
            </w:r>
            <w:r w:rsidR="00A810A1">
              <w:rPr>
                <w:lang w:val="sr-Cyrl-RS" w:eastAsia="sr-Cyrl-CS"/>
              </w:rPr>
              <w:t>е</w:t>
            </w:r>
            <w:r w:rsidR="00891307" w:rsidRPr="00891307">
              <w:rPr>
                <w:lang w:val="sr-Cyrl-RS" w:eastAsia="sr-Cyrl-CS"/>
              </w:rPr>
              <w:t xml:space="preserve">кле из </w:t>
            </w:r>
            <w:r w:rsidRPr="00891307">
              <w:rPr>
                <w:lang w:val="sr-Cyrl-RS" w:eastAsia="sr-Cyrl-CS"/>
              </w:rPr>
              <w:t>ув</w:t>
            </w:r>
            <w:r w:rsidR="00A810A1">
              <w:rPr>
                <w:lang w:val="sr-Cyrl-RS" w:eastAsia="sr-Cyrl-CS"/>
              </w:rPr>
              <w:t>ј</w:t>
            </w:r>
            <w:r w:rsidRPr="00891307">
              <w:rPr>
                <w:lang w:val="sr-Cyrl-RS" w:eastAsia="sr-Cyrl-CS"/>
              </w:rPr>
              <w:t>ерењ</w:t>
            </w:r>
            <w:r w:rsidR="00891307" w:rsidRPr="00891307">
              <w:rPr>
                <w:lang w:val="sr-Cyrl-RS" w:eastAsia="sr-Cyrl-CS"/>
              </w:rPr>
              <w:t>а</w:t>
            </w:r>
            <w:r w:rsidRPr="00891307">
              <w:rPr>
                <w:lang w:val="sr-Cyrl-RS" w:eastAsia="sr-Cyrl-CS"/>
              </w:rPr>
              <w:t xml:space="preserve"> посткласичне наратологије да се под причом</w:t>
            </w:r>
            <w:r w:rsidR="00891307" w:rsidRPr="00891307">
              <w:rPr>
                <w:lang w:val="sr-Cyrl-RS" w:eastAsia="sr-Cyrl-CS"/>
              </w:rPr>
              <w:t>/заплетом</w:t>
            </w:r>
            <w:r w:rsidRPr="00891307">
              <w:rPr>
                <w:lang w:val="sr-Cyrl-RS" w:eastAsia="sr-Cyrl-CS"/>
              </w:rPr>
              <w:t xml:space="preserve"> не подразум</w:t>
            </w:r>
            <w:r w:rsidR="00A810A1">
              <w:rPr>
                <w:lang w:val="sr-Cyrl-RS" w:eastAsia="sr-Cyrl-CS"/>
              </w:rPr>
              <w:t>иј</w:t>
            </w:r>
            <w:r w:rsidRPr="00891307">
              <w:rPr>
                <w:lang w:val="sr-Cyrl-RS" w:eastAsia="sr-Cyrl-CS"/>
              </w:rPr>
              <w:t xml:space="preserve">ева само написани текст, већ </w:t>
            </w:r>
            <w:r w:rsidRPr="00891307">
              <w:rPr>
                <w:lang w:val="sr-Cyrl-CS" w:eastAsia="sr-Cyrl-CS"/>
              </w:rPr>
              <w:t>скуп менталних представа које се могу исказати кроз више различитих медија. Без обзира на то што између позоришта, филма и телевизије постоје сличности у преносу приче</w:t>
            </w:r>
            <w:r w:rsidR="00891307" w:rsidRPr="00891307">
              <w:rPr>
                <w:lang w:val="sr-Cyrl-CS" w:eastAsia="sr-Cyrl-CS"/>
              </w:rPr>
              <w:t>/заплета</w:t>
            </w:r>
            <w:r w:rsidRPr="00891307">
              <w:rPr>
                <w:lang w:val="sr-Cyrl-CS" w:eastAsia="sr-Cyrl-CS"/>
              </w:rPr>
              <w:t xml:space="preserve">, они се </w:t>
            </w:r>
            <w:r w:rsidR="00A810A1">
              <w:rPr>
                <w:lang w:val="sr-Cyrl-CS" w:eastAsia="sr-Cyrl-CS"/>
              </w:rPr>
              <w:t>знатно</w:t>
            </w:r>
            <w:r w:rsidRPr="00891307">
              <w:rPr>
                <w:lang w:val="sr-Cyrl-CS" w:eastAsia="sr-Cyrl-CS"/>
              </w:rPr>
              <w:t xml:space="preserve"> разликују и због тога ће</w:t>
            </w:r>
            <w:r w:rsidR="00891307" w:rsidRPr="00891307">
              <w:rPr>
                <w:lang w:val="sr-Cyrl-CS" w:eastAsia="sr-Cyrl-CS"/>
              </w:rPr>
              <w:t xml:space="preserve"> аналитичка </w:t>
            </w:r>
            <w:r w:rsidRPr="00891307">
              <w:rPr>
                <w:lang w:val="sr-Cyrl-CS" w:eastAsia="sr-Cyrl-CS"/>
              </w:rPr>
              <w:t>пажњ</w:t>
            </w:r>
            <w:r w:rsidR="00891307" w:rsidRPr="00891307">
              <w:rPr>
                <w:lang w:val="sr-Cyrl-CS" w:eastAsia="sr-Cyrl-CS"/>
              </w:rPr>
              <w:t>а</w:t>
            </w:r>
            <w:r w:rsidRPr="00891307">
              <w:rPr>
                <w:lang w:val="sr-Cyrl-CS" w:eastAsia="sr-Cyrl-CS"/>
              </w:rPr>
              <w:t xml:space="preserve"> </w:t>
            </w:r>
            <w:r w:rsidR="00891307" w:rsidRPr="00891307">
              <w:rPr>
                <w:lang w:val="sr-Cyrl-CS" w:eastAsia="sr-Cyrl-CS"/>
              </w:rPr>
              <w:t xml:space="preserve">бити </w:t>
            </w:r>
            <w:r w:rsidRPr="00891307">
              <w:rPr>
                <w:lang w:val="sr-Cyrl-CS" w:eastAsia="sr-Cyrl-CS"/>
              </w:rPr>
              <w:t>усм</w:t>
            </w:r>
            <w:r w:rsidR="00A810A1">
              <w:rPr>
                <w:lang w:val="sr-Cyrl-CS" w:eastAsia="sr-Cyrl-CS"/>
              </w:rPr>
              <w:t>ј</w:t>
            </w:r>
            <w:r w:rsidRPr="00891307">
              <w:rPr>
                <w:lang w:val="sr-Cyrl-CS" w:eastAsia="sr-Cyrl-CS"/>
              </w:rPr>
              <w:t>ер</w:t>
            </w:r>
            <w:r w:rsidR="00891307" w:rsidRPr="00891307">
              <w:rPr>
                <w:lang w:val="sr-Cyrl-CS" w:eastAsia="sr-Cyrl-CS"/>
              </w:rPr>
              <w:t>ена</w:t>
            </w:r>
            <w:r w:rsidRPr="00891307">
              <w:rPr>
                <w:lang w:val="sr-Cyrl-CS" w:eastAsia="sr-Cyrl-CS"/>
              </w:rPr>
              <w:t xml:space="preserve"> на разграничење њихових достигнућа и начина на који презентују св</w:t>
            </w:r>
            <w:r w:rsidR="00A810A1">
              <w:rPr>
                <w:lang w:val="sr-Cyrl-CS" w:eastAsia="sr-Cyrl-CS"/>
              </w:rPr>
              <w:t>иј</w:t>
            </w:r>
            <w:r w:rsidRPr="00891307">
              <w:rPr>
                <w:lang w:val="sr-Cyrl-CS" w:eastAsia="sr-Cyrl-CS"/>
              </w:rPr>
              <w:t xml:space="preserve">ет </w:t>
            </w:r>
            <w:r w:rsidR="00891307" w:rsidRPr="00891307">
              <w:rPr>
                <w:lang w:val="sr-Cyrl-CS" w:eastAsia="sr-Cyrl-CS"/>
              </w:rPr>
              <w:t>ум</w:t>
            </w:r>
            <w:r w:rsidR="00865D0D">
              <w:rPr>
                <w:lang w:val="sr-Cyrl-CS" w:eastAsia="sr-Cyrl-CS"/>
              </w:rPr>
              <w:t>ј</w:t>
            </w:r>
            <w:r w:rsidR="00891307" w:rsidRPr="00891307">
              <w:rPr>
                <w:lang w:val="sr-Cyrl-CS" w:eastAsia="sr-Cyrl-CS"/>
              </w:rPr>
              <w:t>е</w:t>
            </w:r>
            <w:r w:rsidR="00865D0D">
              <w:rPr>
                <w:lang w:val="sr-Cyrl-CS" w:eastAsia="sr-Cyrl-CS"/>
              </w:rPr>
              <w:t>т</w:t>
            </w:r>
            <w:r w:rsidR="00891307" w:rsidRPr="00891307">
              <w:rPr>
                <w:lang w:val="sr-Cyrl-CS" w:eastAsia="sr-Cyrl-CS"/>
              </w:rPr>
              <w:t>ничког д</w:t>
            </w:r>
            <w:r w:rsidR="00A810A1">
              <w:rPr>
                <w:lang w:val="sr-Cyrl-CS" w:eastAsia="sr-Cyrl-CS"/>
              </w:rPr>
              <w:t>ј</w:t>
            </w:r>
            <w:r w:rsidR="00891307" w:rsidRPr="00891307">
              <w:rPr>
                <w:lang w:val="sr-Cyrl-CS" w:eastAsia="sr-Cyrl-CS"/>
              </w:rPr>
              <w:t>ела</w:t>
            </w:r>
            <w:r w:rsidRPr="00891307">
              <w:rPr>
                <w:lang w:val="sr-Cyrl-CS" w:eastAsia="sr-Cyrl-CS"/>
              </w:rPr>
              <w:t>.</w:t>
            </w:r>
          </w:p>
        </w:tc>
      </w:tr>
      <w:tr w:rsidR="00EA0590" w:rsidRPr="0082465B" w14:paraId="7798F7BC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3A3DED3D" w14:textId="77777777" w:rsidR="00EA0590" w:rsidRPr="001E2C91" w:rsidRDefault="00EA0590" w:rsidP="001E2C91">
            <w:pPr>
              <w:jc w:val="center"/>
              <w:rPr>
                <w:rFonts w:eastAsia="TimesNewRomanPS-BoldMT"/>
                <w:lang w:val="sr-Cyrl-CS"/>
              </w:rPr>
            </w:pPr>
            <w:r w:rsidRPr="001E2C91">
              <w:rPr>
                <w:rFonts w:eastAsia="TimesNewRomanPS-BoldMT"/>
                <w:lang w:val="sr-Cyrl-CS"/>
              </w:rPr>
              <w:t>2.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74C2FE0C" w14:textId="77777777" w:rsidR="00EA0590" w:rsidRPr="001E2C91" w:rsidRDefault="00EA0590" w:rsidP="001E2C91">
            <w:pPr>
              <w:rPr>
                <w:lang w:val="ru-RU"/>
              </w:rPr>
            </w:pPr>
            <w:r w:rsidRPr="001E2C91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1E2C91">
              <w:rPr>
                <w:i/>
                <w:color w:val="808080"/>
                <w:lang w:val="ru-RU"/>
              </w:rPr>
              <w:t>(до 200 речи)</w:t>
            </w:r>
          </w:p>
        </w:tc>
      </w:tr>
      <w:tr w:rsidR="00EA0590" w:rsidRPr="0082465B" w14:paraId="32B33B07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601A2E26" w14:textId="26293410" w:rsidR="009E3BBE" w:rsidRPr="001E2C91" w:rsidRDefault="009E3BBE" w:rsidP="001E2C91">
            <w:pPr>
              <w:ind w:firstLine="546"/>
              <w:rPr>
                <w:lang w:val="sr-Cyrl-CS" w:eastAsia="sr-Cyrl-CS"/>
              </w:rPr>
            </w:pPr>
            <w:r w:rsidRPr="001E2C91">
              <w:rPr>
                <w:lang w:val="sr-Cyrl-CS" w:eastAsia="sr-Cyrl-CS"/>
              </w:rPr>
              <w:t>Предложена полазна литература у потпуности је усклађена са дефинисаним научним проблемом и истраживањем:</w:t>
            </w:r>
          </w:p>
          <w:p w14:paraId="41CE0632" w14:textId="77777777" w:rsidR="0095693A" w:rsidRPr="0095693A" w:rsidRDefault="0095693A" w:rsidP="001E2C91">
            <w:pPr>
              <w:ind w:firstLine="720"/>
              <w:rPr>
                <w:lang w:val="sr-Cyrl-CS" w:eastAsia="sr-Cyrl-CS"/>
              </w:rPr>
            </w:pPr>
            <w:r w:rsidRPr="0095693A">
              <w:rPr>
                <w:lang w:val="sr-Cyrl-CS" w:eastAsia="sr-Cyrl-CS"/>
              </w:rPr>
              <w:t xml:space="preserve">Арнхајем, Рудолф. </w:t>
            </w:r>
            <w:r w:rsidRPr="0095693A">
              <w:rPr>
                <w:i/>
                <w:lang w:val="sr-Cyrl-CS" w:eastAsia="sr-Cyrl-CS"/>
              </w:rPr>
              <w:t>Уметност и визуелно опажање</w:t>
            </w:r>
            <w:r w:rsidRPr="0095693A">
              <w:rPr>
                <w:lang w:val="sr-Cyrl-CS" w:eastAsia="sr-Cyrl-CS"/>
              </w:rPr>
              <w:t xml:space="preserve">. Београд: Уметничка академија, 1971. </w:t>
            </w:r>
          </w:p>
          <w:p w14:paraId="17D0712D" w14:textId="77777777" w:rsidR="0095693A" w:rsidRPr="00F81403" w:rsidRDefault="0095693A" w:rsidP="001E2C91">
            <w:pPr>
              <w:rPr>
                <w:lang w:val="sr-Cyrl-CS" w:eastAsia="sr-Cyrl-CS"/>
              </w:rPr>
            </w:pPr>
            <w:r w:rsidRPr="00F81403">
              <w:rPr>
                <w:lang w:val="sr-Cyrl-CS" w:eastAsia="sr-Cyrl-CS"/>
              </w:rPr>
              <w:t xml:space="preserve">Бењамин, Валтер. „Уметничко дело у веку своје техничке репродукције“ у </w:t>
            </w:r>
            <w:r w:rsidRPr="00F81403">
              <w:rPr>
                <w:i/>
                <w:lang w:val="sr-Cyrl-CS" w:eastAsia="sr-Cyrl-CS"/>
              </w:rPr>
              <w:t>Есеји</w:t>
            </w:r>
            <w:r w:rsidRPr="00F81403">
              <w:rPr>
                <w:lang w:val="sr-Cyrl-CS" w:eastAsia="sr-Cyrl-CS"/>
              </w:rPr>
              <w:t>. Београд: Нолит, 1974.</w:t>
            </w:r>
          </w:p>
          <w:p w14:paraId="200390C0" w14:textId="066ED7C2" w:rsidR="00223C25" w:rsidRPr="00223C25" w:rsidRDefault="00223C25" w:rsidP="00F81403">
            <w:pPr>
              <w:ind w:firstLine="720"/>
              <w:rPr>
                <w:lang w:val="sr-Latn-RS" w:eastAsia="sr-Cyrl-CS"/>
              </w:rPr>
            </w:pPr>
            <w:r>
              <w:rPr>
                <w:lang w:val="sr-Latn-RS" w:eastAsia="sr-Cyrl-CS"/>
              </w:rPr>
              <w:lastRenderedPageBreak/>
              <w:t xml:space="preserve">Vidaković, Mihailo, </w:t>
            </w:r>
            <w:r>
              <w:rPr>
                <w:i/>
                <w:iCs/>
                <w:lang w:val="sr-Latn-RS" w:eastAsia="sr-Cyrl-CS"/>
              </w:rPr>
              <w:t>Komično u filmu</w:t>
            </w:r>
            <w:r>
              <w:rPr>
                <w:lang w:val="sr-Latn-RS" w:eastAsia="sr-Cyrl-CS"/>
              </w:rPr>
              <w:t>, Institut za film, Beograd, 1995.</w:t>
            </w:r>
          </w:p>
          <w:p w14:paraId="3802BD15" w14:textId="6137429E" w:rsidR="00F81403" w:rsidRPr="00F81403" w:rsidRDefault="00F81403" w:rsidP="00F81403">
            <w:pPr>
              <w:ind w:firstLine="720"/>
              <w:rPr>
                <w:lang w:val="sr-Cyrl-CS" w:eastAsia="sr-Cyrl-CS"/>
              </w:rPr>
            </w:pPr>
            <w:r w:rsidRPr="00F81403">
              <w:rPr>
                <w:lang w:val="sr-Cyrl-CS" w:eastAsia="sr-Cyrl-CS"/>
              </w:rPr>
              <w:t xml:space="preserve">Воглер, </w:t>
            </w:r>
            <w:r w:rsidRPr="00F81403">
              <w:rPr>
                <w:color w:val="222222"/>
                <w:shd w:val="clear" w:color="auto" w:fill="FFFFFF"/>
              </w:rPr>
              <w:t>Кристофер</w:t>
            </w:r>
            <w:r w:rsidRPr="00F81403">
              <w:rPr>
                <w:color w:val="222222"/>
                <w:shd w:val="clear" w:color="auto" w:fill="FFFFFF"/>
                <w:lang w:val="sr-Cyrl-RS"/>
              </w:rPr>
              <w:t>,</w:t>
            </w:r>
            <w:r w:rsidRPr="00F81403">
              <w:rPr>
                <w:color w:val="222222"/>
                <w:shd w:val="clear" w:color="auto" w:fill="FFFFFF"/>
              </w:rPr>
              <w:t> </w:t>
            </w:r>
            <w:r w:rsidRPr="00F81403">
              <w:rPr>
                <w:i/>
                <w:iCs/>
                <w:color w:val="222222"/>
                <w:shd w:val="clear" w:color="auto" w:fill="FFFFFF"/>
              </w:rPr>
              <w:t>Пишчево путовање, митска структура за писце</w:t>
            </w:r>
            <w:r w:rsidRPr="00F81403">
              <w:rPr>
                <w:color w:val="222222"/>
                <w:shd w:val="clear" w:color="auto" w:fill="FFFFFF"/>
              </w:rPr>
              <w:t>, Службени гласник 2020.</w:t>
            </w:r>
          </w:p>
          <w:p w14:paraId="329289FD" w14:textId="1E4666C9" w:rsidR="0095693A" w:rsidRPr="00F81403" w:rsidRDefault="0095693A" w:rsidP="001E2C91">
            <w:pPr>
              <w:ind w:firstLine="720"/>
              <w:rPr>
                <w:lang w:val="sr-Cyrl-CS" w:eastAsia="sr-Cyrl-CS"/>
              </w:rPr>
            </w:pPr>
            <w:r w:rsidRPr="00F81403">
              <w:rPr>
                <w:lang w:val="sr-Cyrl-CS" w:eastAsia="sr-Cyrl-CS"/>
              </w:rPr>
              <w:t xml:space="preserve">Гаврић, Томислав. </w:t>
            </w:r>
            <w:r w:rsidRPr="00F81403">
              <w:rPr>
                <w:i/>
                <w:lang w:val="sr-Cyrl-CS" w:eastAsia="sr-Cyrl-CS"/>
              </w:rPr>
              <w:t xml:space="preserve">Методе филма (огледи). </w:t>
            </w:r>
            <w:r w:rsidRPr="00F81403">
              <w:rPr>
                <w:lang w:val="sr-Cyrl-CS" w:eastAsia="sr-Cyrl-CS"/>
              </w:rPr>
              <w:t>Београд: Југословенски филм данас и С</w:t>
            </w:r>
            <w:r w:rsidR="00B000DB">
              <w:rPr>
                <w:lang w:val="sr-Cyrl-CS" w:eastAsia="sr-Cyrl-CS"/>
              </w:rPr>
              <w:t>КЦ</w:t>
            </w:r>
            <w:r w:rsidRPr="00F81403">
              <w:rPr>
                <w:lang w:val="sr-Cyrl-CS" w:eastAsia="sr-Cyrl-CS"/>
              </w:rPr>
              <w:t>, 1991.</w:t>
            </w:r>
          </w:p>
          <w:p w14:paraId="3AC4830E" w14:textId="77777777" w:rsidR="0095693A" w:rsidRPr="0095693A" w:rsidRDefault="0095693A" w:rsidP="001E2C91">
            <w:pPr>
              <w:ind w:firstLine="720"/>
              <w:rPr>
                <w:lang w:val="sr-Cyrl-CS" w:eastAsia="sr-Cyrl-CS"/>
              </w:rPr>
            </w:pPr>
            <w:r w:rsidRPr="0095693A">
              <w:rPr>
                <w:lang w:val="sr-Cyrl-CS" w:eastAsia="sr-Cyrl-CS"/>
              </w:rPr>
              <w:t xml:space="preserve">Долежел, Лубомир. </w:t>
            </w:r>
            <w:r w:rsidRPr="0095693A">
              <w:rPr>
                <w:i/>
                <w:lang w:val="sr-Cyrl-CS" w:eastAsia="sr-Cyrl-CS"/>
              </w:rPr>
              <w:t xml:space="preserve">Хетерокосмика: фикција и могући светови. </w:t>
            </w:r>
            <w:r w:rsidRPr="0095693A">
              <w:rPr>
                <w:lang w:val="sr-Cyrl-CS" w:eastAsia="sr-Cyrl-CS"/>
              </w:rPr>
              <w:t xml:space="preserve">Београд: Службени гласник, 2008. </w:t>
            </w:r>
          </w:p>
          <w:p w14:paraId="1FE48941" w14:textId="77777777" w:rsidR="0095693A" w:rsidRPr="0095693A" w:rsidRDefault="0095693A" w:rsidP="001E2C91">
            <w:pPr>
              <w:ind w:firstLine="720"/>
              <w:rPr>
                <w:lang w:val="sr-Cyrl-CS" w:eastAsia="sr-Cyrl-CS"/>
              </w:rPr>
            </w:pPr>
            <w:r w:rsidRPr="0095693A">
              <w:rPr>
                <w:lang w:val="sr-Cyrl-CS" w:eastAsia="sr-Cyrl-CS"/>
              </w:rPr>
              <w:t xml:space="preserve">Ђурђевић, Ђорђе. </w:t>
            </w:r>
            <w:r w:rsidRPr="0095693A">
              <w:rPr>
                <w:i/>
                <w:iCs/>
                <w:lang w:val="sr-Cyrl-CS" w:eastAsia="sr-Cyrl-CS"/>
              </w:rPr>
              <w:t>Трагом српске драме и позориша</w:t>
            </w:r>
            <w:r w:rsidRPr="0095693A">
              <w:rPr>
                <w:lang w:val="sr-Cyrl-CS" w:eastAsia="sr-Cyrl-CS"/>
              </w:rPr>
              <w:t xml:space="preserve">. Нови Сад: Позоришни музеј Војводине, 2010. </w:t>
            </w:r>
          </w:p>
          <w:p w14:paraId="1D723BF0" w14:textId="23A72A77" w:rsidR="0095693A" w:rsidRDefault="0095693A" w:rsidP="001E2C91">
            <w:pPr>
              <w:ind w:firstLine="720"/>
              <w:rPr>
                <w:lang w:val="sr-Cyrl-CS" w:eastAsia="sr-Cyrl-CS"/>
              </w:rPr>
            </w:pPr>
            <w:r w:rsidRPr="0095693A">
              <w:rPr>
                <w:lang w:val="sr-Cyrl-CS" w:eastAsia="sr-Cyrl-CS"/>
              </w:rPr>
              <w:t xml:space="preserve">Крчмар, Весна. „Ружица Сокић у улози Нушићеве госпође министарке“, у: </w:t>
            </w:r>
            <w:hyperlink r:id="rId4" w:history="1">
              <w:r w:rsidRPr="0095693A">
                <w:rPr>
                  <w:i/>
                  <w:iCs/>
                  <w:lang w:val="sr-Cyrl-CS" w:eastAsia="sr-Cyrl-CS"/>
                </w:rPr>
                <w:t>Međunarodni simpozijum "Dramsko delo Branislava Nušića - tradicija i savremenost”</w:t>
              </w:r>
            </w:hyperlink>
            <w:r w:rsidRPr="0095693A">
              <w:rPr>
                <w:lang w:val="sr-Cyrl-CS" w:eastAsia="sr-Cyrl-CS"/>
              </w:rPr>
              <w:t xml:space="preserve">. Нови Сад: Стеријино позорје, 2015. </w:t>
            </w:r>
          </w:p>
          <w:p w14:paraId="5F14CCA7" w14:textId="2C6621A3" w:rsidR="00716724" w:rsidRPr="00716724" w:rsidRDefault="00716724" w:rsidP="001E2C91">
            <w:pPr>
              <w:ind w:firstLine="720"/>
              <w:rPr>
                <w:lang w:val="sr-Latn-RS" w:eastAsia="sr-Cyrl-CS"/>
              </w:rPr>
            </w:pPr>
            <w:r>
              <w:rPr>
                <w:lang w:val="sr-Latn-RS" w:eastAsia="sr-Cyrl-CS"/>
              </w:rPr>
              <w:t xml:space="preserve">Lešić, Josip, </w:t>
            </w:r>
            <w:r>
              <w:rPr>
                <w:i/>
                <w:iCs/>
                <w:lang w:val="sr-Latn-RS" w:eastAsia="sr-Cyrl-CS"/>
              </w:rPr>
              <w:t>Nušićev smijeh</w:t>
            </w:r>
            <w:r>
              <w:rPr>
                <w:lang w:val="sr-Latn-RS" w:eastAsia="sr-Cyrl-CS"/>
              </w:rPr>
              <w:t>, Nolit, Beograd, 1979.</w:t>
            </w:r>
          </w:p>
          <w:p w14:paraId="427217F1" w14:textId="77777777" w:rsidR="0095693A" w:rsidRPr="0095693A" w:rsidRDefault="0095693A" w:rsidP="001E2C91">
            <w:pPr>
              <w:ind w:firstLine="720"/>
              <w:rPr>
                <w:lang w:val="sr-Cyrl-CS" w:eastAsia="sr-Cyrl-CS"/>
              </w:rPr>
            </w:pPr>
            <w:r w:rsidRPr="0095693A">
              <w:rPr>
                <w:lang w:val="sr-Cyrl-CS" w:eastAsia="sr-Cyrl-CS"/>
              </w:rPr>
              <w:t xml:space="preserve">Лешић, Јосип. </w:t>
            </w:r>
            <w:r w:rsidRPr="0095693A">
              <w:rPr>
                <w:i/>
                <w:iCs/>
                <w:lang w:val="sr-Cyrl-CS" w:eastAsia="sr-Cyrl-CS"/>
              </w:rPr>
              <w:t>Бранислав Нушић: Живот и дјело</w:t>
            </w:r>
            <w:r w:rsidRPr="0095693A">
              <w:rPr>
                <w:lang w:val="sr-Cyrl-CS" w:eastAsia="sr-Cyrl-CS"/>
              </w:rPr>
              <w:t xml:space="preserve">. Нови Сад: Стеријино позорје: Матица српска, 1989. </w:t>
            </w:r>
          </w:p>
          <w:p w14:paraId="2E0D4368" w14:textId="77777777" w:rsidR="0095693A" w:rsidRPr="0095693A" w:rsidRDefault="0095693A" w:rsidP="001E2C91">
            <w:pPr>
              <w:ind w:firstLine="720"/>
              <w:rPr>
                <w:lang w:val="sr-Cyrl-CS" w:eastAsia="sr-Cyrl-CS"/>
              </w:rPr>
            </w:pPr>
            <w:r w:rsidRPr="0095693A">
              <w:rPr>
                <w:lang w:val="sr-Cyrl-CS" w:eastAsia="sr-Cyrl-CS"/>
              </w:rPr>
              <w:t xml:space="preserve">Максимовић, Горан. </w:t>
            </w:r>
            <w:r w:rsidRPr="0095693A">
              <w:rPr>
                <w:i/>
                <w:lang w:val="sr-Cyrl-CS" w:eastAsia="sr-Cyrl-CS"/>
              </w:rPr>
              <w:t>Комедиографски Орфеј и други огледи</w:t>
            </w:r>
            <w:r w:rsidRPr="0095693A">
              <w:rPr>
                <w:lang w:val="sr-Cyrl-CS" w:eastAsia="sr-Cyrl-CS"/>
              </w:rPr>
              <w:t xml:space="preserve">. Београд: Алтера, 2010. </w:t>
            </w:r>
          </w:p>
          <w:p w14:paraId="4DDFB1DD" w14:textId="77777777" w:rsidR="0095693A" w:rsidRPr="0095693A" w:rsidRDefault="0095693A" w:rsidP="001E2C91">
            <w:pPr>
              <w:ind w:firstLine="720"/>
              <w:rPr>
                <w:lang w:val="sr-Cyrl-CS" w:eastAsia="sr-Cyrl-CS"/>
              </w:rPr>
            </w:pPr>
            <w:r w:rsidRPr="0095693A">
              <w:rPr>
                <w:lang w:val="sr-Cyrl-CS" w:eastAsia="sr-Cyrl-CS"/>
              </w:rPr>
              <w:t xml:space="preserve">Максимовић, Горан. „Модел хумористичког приповиједања Бранислава Нушића“, у: </w:t>
            </w:r>
            <w:r w:rsidRPr="0095693A">
              <w:rPr>
                <w:i/>
                <w:iCs/>
                <w:lang w:val="sr-Cyrl-CS" w:eastAsia="sr-Cyrl-CS"/>
              </w:rPr>
              <w:t>Бранислав Нушић</w:t>
            </w:r>
            <w:r w:rsidRPr="0095693A">
              <w:rPr>
                <w:lang w:val="sr-Cyrl-CS" w:eastAsia="sr-Cyrl-CS"/>
              </w:rPr>
              <w:t xml:space="preserve">. Нови Сад: Издавачки центар Матице српске, 2013. </w:t>
            </w:r>
          </w:p>
          <w:p w14:paraId="19B75742" w14:textId="77777777" w:rsidR="0095693A" w:rsidRPr="0095693A" w:rsidRDefault="0095693A" w:rsidP="001E2C91">
            <w:pPr>
              <w:ind w:firstLine="720"/>
              <w:rPr>
                <w:lang w:val="en-US" w:eastAsia="sr-Cyrl-CS"/>
              </w:rPr>
            </w:pPr>
            <w:r w:rsidRPr="0095693A">
              <w:rPr>
                <w:lang w:val="sr-Cyrl-CS" w:eastAsia="sr-Cyrl-CS"/>
              </w:rPr>
              <w:t xml:space="preserve">Милосављевић Милић, Снежана. </w:t>
            </w:r>
            <w:r w:rsidRPr="0095693A">
              <w:rPr>
                <w:i/>
                <w:lang w:val="sr-Cyrl-CS" w:eastAsia="sr-Cyrl-CS"/>
              </w:rPr>
              <w:t>Виртуелни наратив.</w:t>
            </w:r>
            <w:r w:rsidRPr="0095693A">
              <w:rPr>
                <w:lang w:val="sr-Cyrl-CS" w:eastAsia="sr-Cyrl-CS"/>
              </w:rPr>
              <w:t xml:space="preserve"> Нови Сад: Издавачка књижарница Зорана Стојановића, 2016.</w:t>
            </w:r>
          </w:p>
          <w:p w14:paraId="299B4F00" w14:textId="77777777" w:rsidR="0095693A" w:rsidRPr="0095693A" w:rsidRDefault="0095693A" w:rsidP="001E2C91">
            <w:pPr>
              <w:ind w:firstLine="720"/>
              <w:rPr>
                <w:lang w:val="sr-Cyrl-RS" w:eastAsia="sr-Cyrl-CS"/>
              </w:rPr>
            </w:pPr>
            <w:r w:rsidRPr="0095693A">
              <w:rPr>
                <w:lang w:val="sr-Cyrl-RS" w:eastAsia="sr-Cyrl-CS"/>
              </w:rPr>
              <w:t xml:space="preserve">Пејчић, Александар. </w:t>
            </w:r>
            <w:r w:rsidRPr="0095693A">
              <w:rPr>
                <w:i/>
                <w:iCs/>
                <w:lang w:val="sr-Cyrl-RS" w:eastAsia="sr-Cyrl-CS"/>
              </w:rPr>
              <w:t>Театрализација власти: комедије Бранислава Нушића</w:t>
            </w:r>
            <w:r w:rsidRPr="0095693A">
              <w:rPr>
                <w:lang w:val="sr-Cyrl-RS" w:eastAsia="sr-Cyrl-CS"/>
              </w:rPr>
              <w:t xml:space="preserve">. Београд: Чигоја штампа, 2012. </w:t>
            </w:r>
          </w:p>
          <w:p w14:paraId="46328C8A" w14:textId="77777777" w:rsidR="0095693A" w:rsidRPr="0095693A" w:rsidRDefault="0095693A" w:rsidP="001E2C91">
            <w:pPr>
              <w:ind w:firstLine="720"/>
              <w:rPr>
                <w:lang w:val="sr-Cyrl-CS" w:eastAsia="sr-Cyrl-CS"/>
              </w:rPr>
            </w:pPr>
            <w:r w:rsidRPr="0095693A">
              <w:rPr>
                <w:lang w:val="sr-Cyrl-CS" w:eastAsia="sr-Cyrl-CS"/>
              </w:rPr>
              <w:t xml:space="preserve">Рапајић, Светозар. „Нушићеве комедије и модернистички токови европске драматургије и позориште“, у: </w:t>
            </w:r>
            <w:r w:rsidRPr="0095693A">
              <w:rPr>
                <w:i/>
                <w:iCs/>
                <w:lang w:val="sr-Cyrl-CS" w:eastAsia="sr-Cyrl-CS"/>
              </w:rPr>
              <w:t>Бранислав Нушић</w:t>
            </w:r>
            <w:r w:rsidRPr="0095693A">
              <w:rPr>
                <w:lang w:val="sr-Cyrl-CS" w:eastAsia="sr-Cyrl-CS"/>
              </w:rPr>
              <w:t xml:space="preserve">. Нови Сад: Издавачки центар Матице српске, 2013. </w:t>
            </w:r>
          </w:p>
          <w:p w14:paraId="1C46664C" w14:textId="77777777" w:rsidR="0095693A" w:rsidRPr="0095693A" w:rsidRDefault="0095693A" w:rsidP="001E2C91">
            <w:pPr>
              <w:ind w:firstLine="720"/>
              <w:rPr>
                <w:lang w:eastAsia="sr-Cyrl-CS"/>
              </w:rPr>
            </w:pPr>
            <w:r w:rsidRPr="0095693A">
              <w:rPr>
                <w:lang w:eastAsia="sr-Cyrl-CS"/>
              </w:rPr>
              <w:t>Čolić Biljanovski, Dragana</w:t>
            </w:r>
            <w:r w:rsidRPr="0095693A">
              <w:rPr>
                <w:lang w:val="sr-Cyrl-RS" w:eastAsia="sr-Cyrl-CS"/>
              </w:rPr>
              <w:t xml:space="preserve">. </w:t>
            </w:r>
            <w:r w:rsidRPr="0095693A">
              <w:rPr>
                <w:lang w:eastAsia="sr-Cyrl-CS"/>
              </w:rPr>
              <w:t>„Medijska arheologija – Branislav Đ. Nušić na filmu i televiziji“</w:t>
            </w:r>
            <w:r w:rsidRPr="0095693A">
              <w:rPr>
                <w:lang w:val="sr-Cyrl-CS" w:eastAsia="sr-Cyrl-CS"/>
              </w:rPr>
              <w:t xml:space="preserve">, </w:t>
            </w:r>
            <w:r w:rsidRPr="0095693A">
              <w:rPr>
                <w:lang w:val="en-US" w:eastAsia="sr-Cyrl-CS"/>
              </w:rPr>
              <w:t>u</w:t>
            </w:r>
            <w:r w:rsidRPr="0095693A">
              <w:rPr>
                <w:lang w:val="sr-Cyrl-CS" w:eastAsia="sr-Cyrl-CS"/>
              </w:rPr>
              <w:t xml:space="preserve">: </w:t>
            </w:r>
            <w:r w:rsidRPr="0095693A">
              <w:rPr>
                <w:i/>
                <w:lang w:eastAsia="sr-Cyrl-CS"/>
              </w:rPr>
              <w:t>Medijski dijalozi: časopis za istraživanje medija i društva</w:t>
            </w:r>
            <w:r w:rsidRPr="0095693A">
              <w:rPr>
                <w:lang w:eastAsia="sr-Cyrl-CS"/>
              </w:rPr>
              <w:t xml:space="preserve"> god. IV, br. 10 (2011)</w:t>
            </w:r>
            <w:r w:rsidRPr="0095693A">
              <w:rPr>
                <w:lang w:val="sr-Cyrl-RS" w:eastAsia="sr-Cyrl-CS"/>
              </w:rPr>
              <w:t>.</w:t>
            </w:r>
            <w:r w:rsidRPr="0095693A">
              <w:rPr>
                <w:lang w:eastAsia="sr-Cyrl-CS"/>
              </w:rPr>
              <w:t xml:space="preserve"> str. 243–253.</w:t>
            </w:r>
          </w:p>
          <w:p w14:paraId="53CF351E" w14:textId="77777777" w:rsidR="0095693A" w:rsidRPr="0095693A" w:rsidRDefault="0095693A" w:rsidP="001E2C91">
            <w:pPr>
              <w:ind w:firstLine="720"/>
              <w:rPr>
                <w:lang w:eastAsia="sr-Cyrl-CS"/>
              </w:rPr>
            </w:pPr>
            <w:r w:rsidRPr="0095693A">
              <w:rPr>
                <w:lang w:val="sr-Cyrl-RS" w:eastAsia="sr-Cyrl-RS"/>
              </w:rPr>
              <w:t xml:space="preserve">Чолић Биљановски, Драгана, „Драмски опус Бранислава Ђ. Нушића у кинематографији и на телевизији“; </w:t>
            </w:r>
            <w:r w:rsidRPr="0095693A">
              <w:rPr>
                <w:i/>
                <w:iCs/>
                <w:lang w:val="sr-Cyrl-RS" w:eastAsia="sr-Cyrl-RS"/>
              </w:rPr>
              <w:t>Зборник Матице српске за сценске уметности</w:t>
            </w:r>
            <w:r w:rsidRPr="0095693A">
              <w:rPr>
                <w:lang w:val="sr-Cyrl-RS" w:eastAsia="sr-Cyrl-RS"/>
              </w:rPr>
              <w:t>, НС, 2015.</w:t>
            </w:r>
          </w:p>
          <w:p w14:paraId="0FB52981" w14:textId="77777777" w:rsidR="001E2C91" w:rsidRPr="001E2C91" w:rsidRDefault="001E2C91" w:rsidP="001E2C91">
            <w:pPr>
              <w:ind w:firstLine="720"/>
              <w:rPr>
                <w:lang w:val="en-US" w:eastAsia="sr-Cyrl-CS"/>
              </w:rPr>
            </w:pPr>
            <w:r w:rsidRPr="001E2C91">
              <w:rPr>
                <w:lang w:val="en-US" w:eastAsia="sr-Cyrl-CS"/>
              </w:rPr>
              <w:t>Herman, David</w:t>
            </w:r>
            <w:r w:rsidRPr="001E2C91">
              <w:rPr>
                <w:lang w:val="sr-Cyrl-RS" w:eastAsia="sr-Cyrl-CS"/>
              </w:rPr>
              <w:t xml:space="preserve">. </w:t>
            </w:r>
            <w:r w:rsidRPr="001E2C91">
              <w:rPr>
                <w:lang w:val="en-US" w:eastAsia="sr-Cyrl-CS"/>
              </w:rPr>
              <w:t xml:space="preserve">“Introduction Narratologies”. In: </w:t>
            </w:r>
            <w:r w:rsidRPr="001E2C91">
              <w:rPr>
                <w:i/>
                <w:lang w:val="en-US" w:eastAsia="sr-Cyrl-CS"/>
              </w:rPr>
              <w:t xml:space="preserve">Narratologies: New Perspectives on Narrative Analysis, </w:t>
            </w:r>
            <w:r w:rsidRPr="001E2C91">
              <w:rPr>
                <w:lang w:val="en-US" w:eastAsia="sr-Cyrl-CS"/>
              </w:rPr>
              <w:t>ed. David Herman</w:t>
            </w:r>
            <w:r w:rsidRPr="001E2C91">
              <w:rPr>
                <w:lang w:val="sr-Cyrl-RS" w:eastAsia="sr-Cyrl-CS"/>
              </w:rPr>
              <w:t>.</w:t>
            </w:r>
            <w:r w:rsidRPr="001E2C91">
              <w:rPr>
                <w:lang w:val="en-US" w:eastAsia="sr-Cyrl-CS"/>
              </w:rPr>
              <w:t xml:space="preserve"> Ohio State University Press, 1999.</w:t>
            </w:r>
          </w:p>
          <w:p w14:paraId="3405E459" w14:textId="780F2014" w:rsidR="001E2C91" w:rsidRPr="00F81403" w:rsidRDefault="001E2C91" w:rsidP="001E2C91">
            <w:pPr>
              <w:ind w:firstLine="720"/>
              <w:rPr>
                <w:lang w:val="sr-Cyrl-CS" w:eastAsia="sr-Cyrl-CS"/>
              </w:rPr>
            </w:pPr>
            <w:r w:rsidRPr="00F81403">
              <w:rPr>
                <w:lang w:val="en-US" w:eastAsia="sr-Cyrl-CS"/>
              </w:rPr>
              <w:t>Herman</w:t>
            </w:r>
            <w:r w:rsidRPr="00F81403">
              <w:rPr>
                <w:lang w:val="sr-Cyrl-CS" w:eastAsia="sr-Cyrl-CS"/>
              </w:rPr>
              <w:t>,</w:t>
            </w:r>
            <w:r w:rsidRPr="00F81403">
              <w:rPr>
                <w:lang w:val="en-US" w:eastAsia="sr-Cyrl-CS"/>
              </w:rPr>
              <w:t xml:space="preserve"> David</w:t>
            </w:r>
            <w:r w:rsidRPr="00F81403">
              <w:rPr>
                <w:lang w:val="sr-Cyrl-RS" w:eastAsia="sr-Cyrl-CS"/>
              </w:rPr>
              <w:t xml:space="preserve">. </w:t>
            </w:r>
            <w:r w:rsidRPr="00F81403">
              <w:rPr>
                <w:lang w:val="en-US" w:eastAsia="sr-Cyrl-CS"/>
              </w:rPr>
              <w:t xml:space="preserve">“Toward a Transmedial Narratology”, In: Marie-Laure Ryan (ed.) </w:t>
            </w:r>
            <w:r w:rsidRPr="00F81403">
              <w:rPr>
                <w:i/>
                <w:lang w:val="en-US" w:eastAsia="sr-Cyrl-CS"/>
              </w:rPr>
              <w:t>Narrative across Media: The Languages of Storytelling</w:t>
            </w:r>
            <w:r w:rsidRPr="00F81403">
              <w:rPr>
                <w:i/>
                <w:lang w:val="sr-Cyrl-RS" w:eastAsia="sr-Cyrl-CS"/>
              </w:rPr>
              <w:t xml:space="preserve">. </w:t>
            </w:r>
            <w:r w:rsidRPr="00F81403">
              <w:rPr>
                <w:lang w:val="en-US" w:eastAsia="sr-Cyrl-CS"/>
              </w:rPr>
              <w:t>Lincoln and London</w:t>
            </w:r>
            <w:r w:rsidRPr="00F81403">
              <w:rPr>
                <w:lang w:val="sr-Cyrl-RS" w:eastAsia="sr-Cyrl-CS"/>
              </w:rPr>
              <w:t xml:space="preserve">: </w:t>
            </w:r>
            <w:r w:rsidRPr="00F81403">
              <w:rPr>
                <w:lang w:val="en-US" w:eastAsia="sr-Cyrl-CS"/>
              </w:rPr>
              <w:t>University of Nebraska Press, 2004</w:t>
            </w:r>
            <w:r w:rsidRPr="00F81403">
              <w:rPr>
                <w:lang w:val="sr-Cyrl-CS" w:eastAsia="sr-Cyrl-CS"/>
              </w:rPr>
              <w:t xml:space="preserve">. </w:t>
            </w:r>
          </w:p>
          <w:p w14:paraId="774EA875" w14:textId="5FFC2886" w:rsidR="00F8039E" w:rsidRPr="00F81403" w:rsidRDefault="00F8039E" w:rsidP="001E2C91">
            <w:pPr>
              <w:ind w:firstLine="720"/>
              <w:rPr>
                <w:lang w:val="sr-Cyrl-CS" w:eastAsia="sr-Cyrl-CS"/>
              </w:rPr>
            </w:pPr>
            <w:r w:rsidRPr="00F81403">
              <w:rPr>
                <w:color w:val="222222"/>
                <w:shd w:val="clear" w:color="auto" w:fill="FFFFFF"/>
              </w:rPr>
              <w:t>Хортон, </w:t>
            </w:r>
            <w:r w:rsidRPr="00F81403">
              <w:rPr>
                <w:color w:val="222222"/>
                <w:shd w:val="clear" w:color="auto" w:fill="FFFFFF"/>
                <w:lang w:val="sr-Cyrl-RS"/>
              </w:rPr>
              <w:t xml:space="preserve">Ендру, </w:t>
            </w:r>
            <w:r w:rsidRPr="00F81403">
              <w:rPr>
                <w:i/>
                <w:iCs/>
                <w:color w:val="222222"/>
                <w:shd w:val="clear" w:color="auto" w:fill="FFFFFF"/>
              </w:rPr>
              <w:t>Ликови, основа сценарија</w:t>
            </w:r>
            <w:r w:rsidRPr="00F81403">
              <w:rPr>
                <w:color w:val="222222"/>
                <w:shd w:val="clear" w:color="auto" w:fill="FFFFFF"/>
              </w:rPr>
              <w:t xml:space="preserve">, Клио, 2004. </w:t>
            </w:r>
          </w:p>
          <w:p w14:paraId="611603CB" w14:textId="77777777" w:rsidR="001E2C91" w:rsidRPr="001E2C91" w:rsidRDefault="001E2C91" w:rsidP="001E2C91">
            <w:pPr>
              <w:ind w:firstLine="720"/>
              <w:rPr>
                <w:lang w:val="sr-Cyrl-CS" w:eastAsia="sr-Cyrl-CS"/>
              </w:rPr>
            </w:pPr>
            <w:r w:rsidRPr="001E2C91">
              <w:rPr>
                <w:lang w:eastAsia="sr-Cyrl-CS"/>
              </w:rPr>
              <w:t>Lešić</w:t>
            </w:r>
            <w:r w:rsidRPr="001E2C91">
              <w:rPr>
                <w:lang w:val="en-US" w:eastAsia="sr-Cyrl-CS"/>
              </w:rPr>
              <w:t>,</w:t>
            </w:r>
            <w:r w:rsidRPr="001E2C91">
              <w:rPr>
                <w:lang w:val="sr-Cyrl-RS" w:eastAsia="sr-Cyrl-CS"/>
              </w:rPr>
              <w:t xml:space="preserve"> </w:t>
            </w:r>
            <w:r w:rsidRPr="001E2C91">
              <w:rPr>
                <w:lang w:eastAsia="sr-Cyrl-CS"/>
              </w:rPr>
              <w:t>Josip</w:t>
            </w:r>
            <w:r w:rsidRPr="001E2C91">
              <w:rPr>
                <w:lang w:val="sr-Cyrl-RS" w:eastAsia="sr-Cyrl-CS"/>
              </w:rPr>
              <w:t>.</w:t>
            </w:r>
            <w:r w:rsidRPr="001E2C91">
              <w:rPr>
                <w:lang w:eastAsia="sr-Cyrl-CS"/>
              </w:rPr>
              <w:t xml:space="preserve"> </w:t>
            </w:r>
            <w:r w:rsidRPr="001E2C91">
              <w:rPr>
                <w:i/>
                <w:lang w:eastAsia="sr-Cyrl-CS"/>
              </w:rPr>
              <w:t>Nušićev smijeh</w:t>
            </w:r>
            <w:r w:rsidRPr="001E2C91">
              <w:rPr>
                <w:lang w:val="sr-Cyrl-CS" w:eastAsia="sr-Cyrl-CS"/>
              </w:rPr>
              <w:t>. Beograd: Nolit,</w:t>
            </w:r>
            <w:r w:rsidRPr="001E2C91">
              <w:rPr>
                <w:lang w:eastAsia="sr-Cyrl-CS"/>
              </w:rPr>
              <w:t xml:space="preserve"> </w:t>
            </w:r>
            <w:r w:rsidRPr="001E2C91">
              <w:rPr>
                <w:lang w:val="sr-Cyrl-CS" w:eastAsia="sr-Cyrl-CS"/>
              </w:rPr>
              <w:t>1981.</w:t>
            </w:r>
          </w:p>
          <w:p w14:paraId="249C7E4E" w14:textId="77777777" w:rsidR="001E2C91" w:rsidRPr="001E2C91" w:rsidRDefault="001E2C91" w:rsidP="001E2C91">
            <w:pPr>
              <w:ind w:firstLine="720"/>
              <w:rPr>
                <w:lang w:val="sr-Latn-RS" w:eastAsia="sr-Cyrl-CS"/>
              </w:rPr>
            </w:pPr>
            <w:r w:rsidRPr="001E2C91">
              <w:rPr>
                <w:lang w:val="sr-Latn-RS" w:eastAsia="sr-Cyrl-CS"/>
              </w:rPr>
              <w:t>Misailović, Milenko.</w:t>
            </w:r>
            <w:r w:rsidRPr="001E2C91">
              <w:rPr>
                <w:lang w:val="sr-Cyrl-RS" w:eastAsia="sr-Cyrl-CS"/>
              </w:rPr>
              <w:t xml:space="preserve"> </w:t>
            </w:r>
            <w:r w:rsidRPr="001E2C91">
              <w:rPr>
                <w:i/>
                <w:iCs/>
                <w:lang w:val="sr-Latn-RS" w:eastAsia="sr-Cyrl-CS"/>
              </w:rPr>
              <w:t>Kreativna dramaturcija: uvod u filozofiju pozorišne umetnosti</w:t>
            </w:r>
            <w:r w:rsidRPr="001E2C91">
              <w:rPr>
                <w:lang w:val="sr-Latn-RS" w:eastAsia="sr-Cyrl-CS"/>
              </w:rPr>
              <w:t xml:space="preserve">. Tom 2. Novi Sad: Sterijno pozorje, 2000. </w:t>
            </w:r>
          </w:p>
          <w:p w14:paraId="22A63DF8" w14:textId="77777777" w:rsidR="001E2C91" w:rsidRPr="001E2C91" w:rsidRDefault="001E2C91" w:rsidP="001E2C91">
            <w:pPr>
              <w:ind w:firstLine="720"/>
              <w:rPr>
                <w:lang w:val="en-US" w:eastAsia="sr-Cyrl-CS"/>
              </w:rPr>
            </w:pPr>
            <w:r w:rsidRPr="001E2C91">
              <w:rPr>
                <w:lang w:val="en-US" w:eastAsia="sr-Cyrl-CS"/>
              </w:rPr>
              <w:t>Ryan,</w:t>
            </w:r>
            <w:r w:rsidRPr="001E2C91">
              <w:rPr>
                <w:lang w:val="sr-Cyrl-CS" w:eastAsia="sr-Cyrl-CS"/>
              </w:rPr>
              <w:t xml:space="preserve"> </w:t>
            </w:r>
            <w:r w:rsidRPr="001E2C91">
              <w:rPr>
                <w:lang w:val="en-US" w:eastAsia="sr-Cyrl-CS"/>
              </w:rPr>
              <w:t>Marrie-Laure</w:t>
            </w:r>
            <w:r w:rsidRPr="001E2C91">
              <w:rPr>
                <w:lang w:val="sr-Cyrl-CS" w:eastAsia="sr-Cyrl-CS"/>
              </w:rPr>
              <w:t xml:space="preserve">. </w:t>
            </w:r>
            <w:r w:rsidRPr="001E2C91">
              <w:rPr>
                <w:i/>
                <w:lang w:val="en-US" w:eastAsia="sr-Cyrl-CS"/>
              </w:rPr>
              <w:t>Narrative across Media: The Languages of Storytelling</w:t>
            </w:r>
            <w:r w:rsidRPr="001E2C91">
              <w:rPr>
                <w:i/>
                <w:lang w:val="sr-Cyrl-RS" w:eastAsia="sr-Cyrl-CS"/>
              </w:rPr>
              <w:t>.</w:t>
            </w:r>
            <w:r w:rsidRPr="001E2C91">
              <w:rPr>
                <w:lang w:val="en-US" w:eastAsia="sr-Cyrl-CS"/>
              </w:rPr>
              <w:t xml:space="preserve"> Lincoln and London</w:t>
            </w:r>
            <w:r w:rsidRPr="001E2C91">
              <w:rPr>
                <w:lang w:val="sr-Cyrl-RS" w:eastAsia="sr-Cyrl-CS"/>
              </w:rPr>
              <w:t xml:space="preserve">: </w:t>
            </w:r>
            <w:r w:rsidRPr="001E2C91">
              <w:rPr>
                <w:lang w:val="en-US" w:eastAsia="sr-Cyrl-CS"/>
              </w:rPr>
              <w:t>University of Nebraska Press 2004.</w:t>
            </w:r>
          </w:p>
          <w:p w14:paraId="5EA41F72" w14:textId="77777777" w:rsidR="001E2C91" w:rsidRPr="001E2C91" w:rsidRDefault="001E2C91" w:rsidP="001E2C91">
            <w:pPr>
              <w:ind w:firstLine="720"/>
              <w:rPr>
                <w:lang w:val="en-US" w:eastAsia="sr-Cyrl-CS"/>
              </w:rPr>
            </w:pPr>
            <w:r w:rsidRPr="001E2C91">
              <w:rPr>
                <w:lang w:val="en-US" w:eastAsia="sr-Cyrl-CS"/>
              </w:rPr>
              <w:t>Ryan,</w:t>
            </w:r>
            <w:r w:rsidRPr="001E2C91">
              <w:rPr>
                <w:lang w:val="sr-Cyrl-CS" w:eastAsia="sr-Cyrl-CS"/>
              </w:rPr>
              <w:t xml:space="preserve"> </w:t>
            </w:r>
            <w:r w:rsidRPr="001E2C91">
              <w:rPr>
                <w:lang w:val="en-US" w:eastAsia="sr-Cyrl-CS"/>
              </w:rPr>
              <w:t>Marrie-Laure</w:t>
            </w:r>
            <w:r w:rsidRPr="001E2C91">
              <w:rPr>
                <w:lang w:val="sr-Cyrl-CS" w:eastAsia="sr-Cyrl-CS"/>
              </w:rPr>
              <w:t xml:space="preserve">. </w:t>
            </w:r>
            <w:r w:rsidRPr="001E2C91">
              <w:rPr>
                <w:lang w:val="en-US" w:eastAsia="sr-Cyrl-CS"/>
              </w:rPr>
              <w:t xml:space="preserve">“Transmedial Storytelling and Transfictionаlity”. In: </w:t>
            </w:r>
            <w:r w:rsidRPr="001E2C91">
              <w:rPr>
                <w:i/>
                <w:lang w:val="en-US" w:eastAsia="sr-Cyrl-CS"/>
              </w:rPr>
              <w:t>Poetics Today</w:t>
            </w:r>
            <w:r w:rsidRPr="001E2C91">
              <w:rPr>
                <w:i/>
                <w:lang w:val="sr-Cyrl-RS" w:eastAsia="sr-Cyrl-CS"/>
              </w:rPr>
              <w:t xml:space="preserve">. </w:t>
            </w:r>
            <w:r w:rsidRPr="001E2C91">
              <w:rPr>
                <w:lang w:val="en-US" w:eastAsia="sr-Cyrl-CS"/>
              </w:rPr>
              <w:t xml:space="preserve">Pоrter Institute for Poetics and Semiotics, 2013. </w:t>
            </w:r>
          </w:p>
          <w:p w14:paraId="595735C6" w14:textId="71132D7E" w:rsidR="001E2C91" w:rsidRPr="001E2C91" w:rsidRDefault="001E2C91" w:rsidP="001E2C91">
            <w:pPr>
              <w:ind w:firstLine="720"/>
              <w:rPr>
                <w:lang w:val="sr-Latn-RS" w:eastAsia="sr-Cyrl-CS"/>
              </w:rPr>
            </w:pPr>
            <w:r w:rsidRPr="001E2C91">
              <w:rPr>
                <w:lang w:val="sr-Latn-RS" w:eastAsia="sr-Cyrl-CS"/>
              </w:rPr>
              <w:t>Stojanović</w:t>
            </w:r>
            <w:r w:rsidRPr="001E2C91">
              <w:rPr>
                <w:lang w:val="sr-Cyrl-RS" w:eastAsia="sr-Cyrl-CS"/>
              </w:rPr>
              <w:t>,</w:t>
            </w:r>
            <w:r w:rsidRPr="001E2C91">
              <w:rPr>
                <w:lang w:val="sr-Latn-RS" w:eastAsia="sr-Cyrl-CS"/>
              </w:rPr>
              <w:t xml:space="preserve"> Dušan. </w:t>
            </w:r>
            <w:r w:rsidRPr="001E2C91">
              <w:rPr>
                <w:i/>
                <w:iCs/>
                <w:lang w:val="sr-Latn-RS" w:eastAsia="sr-Cyrl-CS"/>
              </w:rPr>
              <w:t>Film kao prevazilaženje jezika</w:t>
            </w:r>
            <w:r w:rsidRPr="001E2C91">
              <w:rPr>
                <w:lang w:val="sr-Latn-RS" w:eastAsia="sr-Cyrl-CS"/>
              </w:rPr>
              <w:t>. Beograd: Zavod za udžbenike: Institut za film, 1984.</w:t>
            </w:r>
          </w:p>
          <w:p w14:paraId="5DD16FC5" w14:textId="77777777" w:rsidR="001E2C91" w:rsidRPr="001E2C91" w:rsidRDefault="001E2C91" w:rsidP="001E2C91">
            <w:pPr>
              <w:ind w:firstLine="720"/>
              <w:jc w:val="left"/>
              <w:rPr>
                <w:lang w:val="sr-Cyrl-RS" w:eastAsia="sr-Cyrl-RS"/>
              </w:rPr>
            </w:pPr>
            <w:r w:rsidRPr="000D3FCC">
              <w:rPr>
                <w:i/>
                <w:iCs/>
                <w:lang w:val="sr-Cyrl-RS" w:eastAsia="sr-Cyrl-CS"/>
              </w:rPr>
              <w:t>С</w:t>
            </w:r>
            <w:r w:rsidRPr="000D3FCC">
              <w:rPr>
                <w:i/>
                <w:iCs/>
                <w:lang w:val="sr-Cyrl-RS" w:eastAsia="sr-Cyrl-RS"/>
              </w:rPr>
              <w:t>абрана дела Бранислава Нушића</w:t>
            </w:r>
            <w:r w:rsidRPr="001E2C91">
              <w:rPr>
                <w:lang w:val="sr-Cyrl-RS" w:eastAsia="sr-Cyrl-RS"/>
              </w:rPr>
              <w:t xml:space="preserve">, прир. Рашко В. Јовановић, књ. 12. Медиографија (списак свих извођења, прерада дела Б. Нушића на радију, телевизији и филму; детаљни подаци 2006). </w:t>
            </w:r>
          </w:p>
          <w:p w14:paraId="4264DE5C" w14:textId="3EE3E058" w:rsidR="00EA0590" w:rsidRPr="00891307" w:rsidRDefault="001E2C91" w:rsidP="00223C25">
            <w:pPr>
              <w:ind w:firstLine="672"/>
              <w:rPr>
                <w:lang w:val="sr-Cyrl-CS" w:eastAsia="sr-Cyrl-CS"/>
              </w:rPr>
            </w:pPr>
            <w:r w:rsidRPr="001E2C91">
              <w:rPr>
                <w:i/>
                <w:iCs/>
                <w:lang w:val="sr-Cyrl-RS" w:eastAsia="sr-Cyrl-RS"/>
              </w:rPr>
              <w:t>Нушић први српски сценариста и Хаџи-Лоја</w:t>
            </w:r>
            <w:r w:rsidRPr="001E2C91">
              <w:rPr>
                <w:lang w:val="sr-Cyrl-RS" w:eastAsia="sr-Cyrl-RS"/>
              </w:rPr>
              <w:t>, прир. Стеван Јовичић, Дом културе Смедерево</w:t>
            </w:r>
            <w:r w:rsidRPr="002C0F7B">
              <w:rPr>
                <w:lang w:val="sr-Cyrl-RS" w:eastAsia="sr-Cyrl-RS"/>
              </w:rPr>
              <w:t>, 19</w:t>
            </w:r>
            <w:r w:rsidR="002C0F7B" w:rsidRPr="002C0F7B">
              <w:rPr>
                <w:lang w:val="sr-Cyrl-RS" w:eastAsia="sr-Cyrl-RS"/>
              </w:rPr>
              <w:t>9</w:t>
            </w:r>
            <w:r w:rsidRPr="002C0F7B">
              <w:rPr>
                <w:lang w:val="sr-Cyrl-RS" w:eastAsia="sr-Cyrl-RS"/>
              </w:rPr>
              <w:t>6.</w:t>
            </w:r>
          </w:p>
        </w:tc>
      </w:tr>
      <w:tr w:rsidR="00EA0590" w:rsidRPr="0082465B" w14:paraId="787F7B61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20EC3996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3.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2169F241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EA0590" w:rsidRPr="0082465B" w14:paraId="09C853E3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4DAD3B4A" w14:textId="16887CC8" w:rsidR="00EA0590" w:rsidRPr="0082465B" w:rsidRDefault="00CD6A55" w:rsidP="00CD6A55">
            <w:pPr>
              <w:ind w:firstLine="530"/>
              <w:rPr>
                <w:lang w:val="ru-RU"/>
              </w:rPr>
            </w:pPr>
            <w:r w:rsidRPr="00411F45">
              <w:rPr>
                <w:lang w:val="sr-Cyrl-RS"/>
              </w:rPr>
              <w:t xml:space="preserve">Главни циљ истраживања </w:t>
            </w:r>
            <w:r w:rsidR="00377F02">
              <w:rPr>
                <w:lang w:val="sr-Cyrl-RS"/>
              </w:rPr>
              <w:t xml:space="preserve">заснива се на </w:t>
            </w:r>
            <w:r w:rsidRPr="00411F45">
              <w:rPr>
                <w:lang w:val="sr-Cyrl-RS"/>
              </w:rPr>
              <w:t>пока</w:t>
            </w:r>
            <w:r w:rsidR="00377F02">
              <w:rPr>
                <w:lang w:val="sr-Cyrl-RS"/>
              </w:rPr>
              <w:t>зивању</w:t>
            </w:r>
            <w:r w:rsidRPr="00411F45">
              <w:rPr>
                <w:lang w:val="sr-Cyrl-RS"/>
              </w:rPr>
              <w:t xml:space="preserve"> сличности и разлик</w:t>
            </w:r>
            <w:r w:rsidR="00377F02">
              <w:rPr>
                <w:lang w:val="sr-Cyrl-RS"/>
              </w:rPr>
              <w:t>а</w:t>
            </w:r>
            <w:r w:rsidRPr="00411F45">
              <w:rPr>
                <w:lang w:val="sr-Cyrl-RS"/>
              </w:rPr>
              <w:t xml:space="preserve"> у грађењу Нушићевих комичних ликова и представљању радње у различитим медијима.</w:t>
            </w:r>
            <w:r w:rsidRPr="00411F45">
              <w:rPr>
                <w:lang w:val="sr-Latn-RS"/>
              </w:rPr>
              <w:t xml:space="preserve"> </w:t>
            </w:r>
            <w:r w:rsidRPr="00411F45">
              <w:rPr>
                <w:lang w:val="sr-Cyrl-RS"/>
              </w:rPr>
              <w:t xml:space="preserve">То </w:t>
            </w:r>
            <w:r w:rsidR="00377F02">
              <w:rPr>
                <w:lang w:val="sr-Cyrl-RS"/>
              </w:rPr>
              <w:t xml:space="preserve">је </w:t>
            </w:r>
            <w:r w:rsidRPr="00411F45">
              <w:rPr>
                <w:lang w:val="sr-Cyrl-RS"/>
              </w:rPr>
              <w:t>најпр</w:t>
            </w:r>
            <w:r w:rsidR="00A810A1">
              <w:rPr>
                <w:lang w:val="sr-Cyrl-RS"/>
              </w:rPr>
              <w:t>иј</w:t>
            </w:r>
            <w:r w:rsidRPr="00411F45">
              <w:rPr>
                <w:lang w:val="sr-Cyrl-RS"/>
              </w:rPr>
              <w:t xml:space="preserve">е </w:t>
            </w:r>
            <w:r w:rsidR="00377F02">
              <w:rPr>
                <w:lang w:val="sr-Cyrl-RS"/>
              </w:rPr>
              <w:t xml:space="preserve">потребно остварити </w:t>
            </w:r>
            <w:r w:rsidRPr="00411F45">
              <w:rPr>
                <w:lang w:val="sr-Cyrl-RS"/>
              </w:rPr>
              <w:t>поређењем текста и адаптација, а потом освртањем на теоријске основе теорије драме, трансмедијалне наратологије и теорије о филму, позоришту и телевизији.</w:t>
            </w:r>
            <w:r w:rsidRPr="00411F45">
              <w:rPr>
                <w:lang w:val="sr-Latn-RS"/>
              </w:rPr>
              <w:t xml:space="preserve"> </w:t>
            </w:r>
            <w:r w:rsidRPr="00411F45">
              <w:rPr>
                <w:lang w:val="sr-Cyrl-RS"/>
              </w:rPr>
              <w:t>Адаптацијама одабраних Нушићевих д</w:t>
            </w:r>
            <w:r w:rsidR="00A810A1">
              <w:rPr>
                <w:lang w:val="sr-Cyrl-RS"/>
              </w:rPr>
              <w:t>ј</w:t>
            </w:r>
            <w:r w:rsidRPr="00411F45">
              <w:rPr>
                <w:lang w:val="sr-Cyrl-RS"/>
              </w:rPr>
              <w:t xml:space="preserve">ела </w:t>
            </w:r>
            <w:r w:rsidR="00377F02">
              <w:rPr>
                <w:lang w:val="sr-Cyrl-RS"/>
              </w:rPr>
              <w:t xml:space="preserve">биће интерпретирана </w:t>
            </w:r>
            <w:r w:rsidRPr="00411F45">
              <w:rPr>
                <w:lang w:val="sr-Cyrl-RS"/>
              </w:rPr>
              <w:t>систематски, најпр</w:t>
            </w:r>
            <w:r w:rsidR="00A810A1">
              <w:rPr>
                <w:lang w:val="sr-Cyrl-RS"/>
              </w:rPr>
              <w:t>иј</w:t>
            </w:r>
            <w:r w:rsidRPr="00411F45">
              <w:rPr>
                <w:lang w:val="sr-Cyrl-RS"/>
              </w:rPr>
              <w:t>е анализирајући Нушићев комедиографски поступак и његово апликовање на сценска извођења,</w:t>
            </w:r>
            <w:r>
              <w:rPr>
                <w:lang w:val="sr-Cyrl-RS"/>
              </w:rPr>
              <w:t xml:space="preserve"> начин грађења</w:t>
            </w:r>
            <w:r w:rsidRPr="00411F45">
              <w:rPr>
                <w:lang w:val="sr-Cyrl-RS"/>
              </w:rPr>
              <w:t xml:space="preserve"> јунака и </w:t>
            </w:r>
            <w:r>
              <w:rPr>
                <w:lang w:val="sr-Cyrl-RS"/>
              </w:rPr>
              <w:t xml:space="preserve">однос </w:t>
            </w:r>
            <w:r w:rsidRPr="00411F45">
              <w:rPr>
                <w:lang w:val="sr-Cyrl-RS"/>
              </w:rPr>
              <w:t>између радње у тексту и адаптација. Пажњ</w:t>
            </w:r>
            <w:r w:rsidR="00377F02">
              <w:rPr>
                <w:lang w:val="sr-Cyrl-RS"/>
              </w:rPr>
              <w:t>а</w:t>
            </w:r>
            <w:r w:rsidRPr="00411F45">
              <w:rPr>
                <w:lang w:val="sr-Cyrl-RS"/>
              </w:rPr>
              <w:t xml:space="preserve"> </w:t>
            </w:r>
            <w:r w:rsidR="00A810A1">
              <w:rPr>
                <w:lang w:val="sr-Cyrl-RS"/>
              </w:rPr>
              <w:t>ће бити</w:t>
            </w:r>
            <w:r w:rsidR="00377F02">
              <w:rPr>
                <w:lang w:val="sr-Cyrl-RS"/>
              </w:rPr>
              <w:t xml:space="preserve"> </w:t>
            </w:r>
            <w:r w:rsidRPr="00411F45">
              <w:rPr>
                <w:lang w:val="sr-Cyrl-RS"/>
              </w:rPr>
              <w:t>посвеће</w:t>
            </w:r>
            <w:r w:rsidR="00377F02">
              <w:rPr>
                <w:lang w:val="sr-Cyrl-RS"/>
              </w:rPr>
              <w:t>на</w:t>
            </w:r>
            <w:r w:rsidRPr="00411F45">
              <w:rPr>
                <w:lang w:val="sr-Cyrl-RS"/>
              </w:rPr>
              <w:t xml:space="preserve"> </w:t>
            </w:r>
            <w:r w:rsidR="00A810A1">
              <w:rPr>
                <w:lang w:val="sr-Cyrl-RS"/>
              </w:rPr>
              <w:t xml:space="preserve">и </w:t>
            </w:r>
            <w:r w:rsidRPr="00411F45">
              <w:rPr>
                <w:lang w:val="sr-Cyrl-RS"/>
              </w:rPr>
              <w:t>редитељским р</w:t>
            </w:r>
            <w:r w:rsidR="00A810A1">
              <w:rPr>
                <w:lang w:val="sr-Cyrl-RS"/>
              </w:rPr>
              <w:t>ј</w:t>
            </w:r>
            <w:r w:rsidRPr="00411F45">
              <w:rPr>
                <w:lang w:val="sr-Cyrl-RS"/>
              </w:rPr>
              <w:t>ешењима преноса текста комедије</w:t>
            </w:r>
            <w:r w:rsidR="00A810A1">
              <w:rPr>
                <w:lang w:val="sr-Cyrl-RS"/>
              </w:rPr>
              <w:t>/драме/романа/приче</w:t>
            </w:r>
            <w:r w:rsidRPr="00411F45">
              <w:rPr>
                <w:lang w:val="sr-Cyrl-RS"/>
              </w:rPr>
              <w:t xml:space="preserve"> кроз други медиј, али и начину на који се радња и ликови доживљавају у новом медију. Посебно поглавље биће посвећено адаптацијама за које је сценарио написан по мотивима једне или више комедија или „малих сцена“</w:t>
            </w:r>
            <w:r>
              <w:rPr>
                <w:lang w:val="sr-Cyrl-RS"/>
              </w:rPr>
              <w:t>.</w:t>
            </w:r>
            <w:r w:rsidRPr="00411F45">
              <w:rPr>
                <w:lang w:val="sr-Cyrl-RS"/>
              </w:rPr>
              <w:t xml:space="preserve"> Водећи се теоријским поставкама студија адаптација, </w:t>
            </w:r>
            <w:r w:rsidR="00377F02">
              <w:rPr>
                <w:lang w:val="sr-Cyrl-RS"/>
              </w:rPr>
              <w:t xml:space="preserve">биће </w:t>
            </w:r>
            <w:r w:rsidRPr="00411F45">
              <w:rPr>
                <w:lang w:val="sr-Cyrl-RS"/>
              </w:rPr>
              <w:t>указ</w:t>
            </w:r>
            <w:r w:rsidR="00377F02">
              <w:rPr>
                <w:lang w:val="sr-Cyrl-RS"/>
              </w:rPr>
              <w:t>ано</w:t>
            </w:r>
            <w:r w:rsidRPr="00411F45">
              <w:rPr>
                <w:lang w:val="sr-Cyrl-RS"/>
              </w:rPr>
              <w:t xml:space="preserve"> на то колико су редитељи в</w:t>
            </w:r>
            <w:r w:rsidR="00A810A1">
              <w:rPr>
                <w:lang w:val="sr-Cyrl-RS"/>
              </w:rPr>
              <w:t>ј</w:t>
            </w:r>
            <w:r w:rsidRPr="00411F45">
              <w:rPr>
                <w:lang w:val="sr-Cyrl-RS"/>
              </w:rPr>
              <w:t>ерно сл</w:t>
            </w:r>
            <w:r w:rsidR="00A810A1">
              <w:rPr>
                <w:lang w:val="sr-Cyrl-RS"/>
              </w:rPr>
              <w:t>иј</w:t>
            </w:r>
            <w:r w:rsidRPr="00411F45">
              <w:rPr>
                <w:lang w:val="sr-Cyrl-RS"/>
              </w:rPr>
              <w:t>едили Нушићеву замисао, коју је имао приликом писања д</w:t>
            </w:r>
            <w:r w:rsidR="00A810A1">
              <w:rPr>
                <w:lang w:val="sr-Cyrl-RS"/>
              </w:rPr>
              <w:t>ј</w:t>
            </w:r>
            <w:r w:rsidRPr="00411F45">
              <w:rPr>
                <w:lang w:val="sr-Cyrl-RS"/>
              </w:rPr>
              <w:t>ела и грађења ликова. Анализа сценских и</w:t>
            </w:r>
            <w:r>
              <w:rPr>
                <w:lang w:val="sr-Cyrl-RS"/>
              </w:rPr>
              <w:t>з</w:t>
            </w:r>
            <w:r w:rsidRPr="00411F45">
              <w:rPr>
                <w:lang w:val="sr-Cyrl-RS"/>
              </w:rPr>
              <w:t xml:space="preserve">вођења компаративном методом </w:t>
            </w:r>
            <w:r w:rsidR="00E30C88">
              <w:rPr>
                <w:lang w:val="sr-Cyrl-RS"/>
              </w:rPr>
              <w:t xml:space="preserve">има обавезу да </w:t>
            </w:r>
            <w:r w:rsidRPr="00411F45">
              <w:rPr>
                <w:lang w:val="sr-Cyrl-RS"/>
              </w:rPr>
              <w:t xml:space="preserve">покаже разлике у приказивању јунака у оквиру различитих или истих медија и образложи разлоге за </w:t>
            </w:r>
            <w:r w:rsidR="00E30C88">
              <w:rPr>
                <w:lang w:val="sr-Cyrl-RS"/>
              </w:rPr>
              <w:t xml:space="preserve">остварена </w:t>
            </w:r>
            <w:r w:rsidRPr="00411F45">
              <w:rPr>
                <w:lang w:val="sr-Cyrl-RS"/>
              </w:rPr>
              <w:t>редитељска р</w:t>
            </w:r>
            <w:r w:rsidR="00A810A1">
              <w:rPr>
                <w:lang w:val="sr-Cyrl-RS"/>
              </w:rPr>
              <w:t>ј</w:t>
            </w:r>
            <w:r w:rsidRPr="00411F45">
              <w:rPr>
                <w:lang w:val="sr-Cyrl-RS"/>
              </w:rPr>
              <w:t>ешења приликом адаптирања комада.</w:t>
            </w:r>
          </w:p>
        </w:tc>
      </w:tr>
      <w:tr w:rsidR="00EA0590" w:rsidRPr="0082465B" w14:paraId="1A41222E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6546E24F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4.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6B64EF67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6BCEE3CC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4FC8F795" w14:textId="1A7A6E84" w:rsidR="00EA0590" w:rsidRPr="0082465B" w:rsidRDefault="00BF2B1A" w:rsidP="00BF2B1A">
            <w:pPr>
              <w:ind w:firstLine="530"/>
              <w:rPr>
                <w:lang w:val="ru-RU"/>
              </w:rPr>
            </w:pPr>
            <w:r w:rsidRPr="00411F45">
              <w:rPr>
                <w:lang w:val="sr-Cyrl-RS"/>
              </w:rPr>
              <w:t xml:space="preserve">Ово истраживање </w:t>
            </w:r>
            <w:r w:rsidR="00E30C88">
              <w:rPr>
                <w:lang w:val="sr-Cyrl-RS"/>
              </w:rPr>
              <w:t xml:space="preserve">има обавезу </w:t>
            </w:r>
            <w:r w:rsidRPr="00411F45">
              <w:rPr>
                <w:lang w:val="sr-Cyrl-RS"/>
              </w:rPr>
              <w:t>да</w:t>
            </w:r>
            <w:r w:rsidR="00E30C88">
              <w:rPr>
                <w:lang w:val="sr-Cyrl-RS"/>
              </w:rPr>
              <w:t xml:space="preserve"> предочи</w:t>
            </w:r>
            <w:r w:rsidRPr="00411F45">
              <w:rPr>
                <w:lang w:val="sr-Cyrl-RS"/>
              </w:rPr>
              <w:t xml:space="preserve"> нове информације о извођењу и адаптирању Нушићевих комедија</w:t>
            </w:r>
            <w:r w:rsidR="00A810A1">
              <w:rPr>
                <w:lang w:val="sr-Cyrl-RS"/>
              </w:rPr>
              <w:t>, драма</w:t>
            </w:r>
            <w:r w:rsidRPr="00411F45">
              <w:rPr>
                <w:lang w:val="sr-Cyrl-RS"/>
              </w:rPr>
              <w:t xml:space="preserve"> и хумористичких д</w:t>
            </w:r>
            <w:r w:rsidR="00CB7386">
              <w:rPr>
                <w:lang w:val="sr-Cyrl-RS"/>
              </w:rPr>
              <w:t>ј</w:t>
            </w:r>
            <w:r w:rsidRPr="00411F45">
              <w:rPr>
                <w:lang w:val="sr-Cyrl-RS"/>
              </w:rPr>
              <w:t xml:space="preserve">ела. Трансмедијалном анализом комедија и појединачном анализом ликова </w:t>
            </w:r>
            <w:r w:rsidR="00DE3141">
              <w:rPr>
                <w:lang w:val="sr-Cyrl-RS"/>
              </w:rPr>
              <w:t xml:space="preserve">требало би </w:t>
            </w:r>
            <w:r w:rsidR="00DE3141">
              <w:rPr>
                <w:lang w:val="sr-Cyrl-RS"/>
              </w:rPr>
              <w:lastRenderedPageBreak/>
              <w:t xml:space="preserve">да буде </w:t>
            </w:r>
            <w:r w:rsidRPr="00411F45">
              <w:rPr>
                <w:lang w:val="sr-Cyrl-RS"/>
              </w:rPr>
              <w:t>пруж</w:t>
            </w:r>
            <w:r w:rsidR="00DE3141">
              <w:rPr>
                <w:lang w:val="sr-Cyrl-RS"/>
              </w:rPr>
              <w:t>ен</w:t>
            </w:r>
            <w:r w:rsidRPr="00411F45">
              <w:rPr>
                <w:lang w:val="sr-Cyrl-RS"/>
              </w:rPr>
              <w:t xml:space="preserve"> увид у пром</w:t>
            </w:r>
            <w:r w:rsidR="00A810A1">
              <w:rPr>
                <w:lang w:val="sr-Cyrl-RS"/>
              </w:rPr>
              <w:t>ј</w:t>
            </w:r>
            <w:r w:rsidRPr="00411F45">
              <w:rPr>
                <w:lang w:val="sr-Cyrl-RS"/>
              </w:rPr>
              <w:t xml:space="preserve">ене које се дешавају приликом адаптирања текста </w:t>
            </w:r>
            <w:r w:rsidR="00DE3141">
              <w:rPr>
                <w:lang w:val="sr-Cyrl-RS"/>
              </w:rPr>
              <w:t>з</w:t>
            </w:r>
            <w:r w:rsidRPr="00411F45">
              <w:rPr>
                <w:lang w:val="sr-Cyrl-RS"/>
              </w:rPr>
              <w:t xml:space="preserve">а </w:t>
            </w:r>
            <w:r w:rsidR="00DE3141">
              <w:rPr>
                <w:lang w:val="sr-Cyrl-RS"/>
              </w:rPr>
              <w:t xml:space="preserve">позоришну </w:t>
            </w:r>
            <w:r w:rsidRPr="00411F45">
              <w:rPr>
                <w:lang w:val="sr-Cyrl-RS"/>
              </w:rPr>
              <w:t>сцену</w:t>
            </w:r>
            <w:r w:rsidR="00DE3141">
              <w:rPr>
                <w:lang w:val="sr-Cyrl-RS"/>
              </w:rPr>
              <w:t xml:space="preserve"> или филмски кадар</w:t>
            </w:r>
            <w:r w:rsidRPr="00411F45">
              <w:rPr>
                <w:lang w:val="sr-Cyrl-RS"/>
              </w:rPr>
              <w:t xml:space="preserve">. Добијени закључци </w:t>
            </w:r>
            <w:r w:rsidR="00DE3141">
              <w:rPr>
                <w:lang w:val="sr-Cyrl-RS"/>
              </w:rPr>
              <w:t xml:space="preserve">би требало да буду </w:t>
            </w:r>
            <w:r w:rsidRPr="00411F45">
              <w:rPr>
                <w:lang w:val="sr-Cyrl-RS"/>
              </w:rPr>
              <w:t>полазиште даљим трансмедијалним истраживањима, која би пружила ширу слику српске комедиографије 19. и почетка 20. в</w:t>
            </w:r>
            <w:r w:rsidR="00A810A1">
              <w:rPr>
                <w:lang w:val="sr-Cyrl-RS"/>
              </w:rPr>
              <w:t>иј</w:t>
            </w:r>
            <w:r w:rsidRPr="00411F45">
              <w:rPr>
                <w:lang w:val="sr-Cyrl-RS"/>
              </w:rPr>
              <w:t xml:space="preserve">ека у оквирима трансмедијалне наратологије. Овим научним истраживањем </w:t>
            </w:r>
            <w:r w:rsidR="00DE3141">
              <w:rPr>
                <w:lang w:val="sr-Cyrl-RS"/>
              </w:rPr>
              <w:t>биће сагледана генеза</w:t>
            </w:r>
            <w:r w:rsidRPr="00411F45">
              <w:rPr>
                <w:lang w:val="sr-Cyrl-RS"/>
              </w:rPr>
              <w:t xml:space="preserve"> Нушићевих јунака кроз другачије медије, али и временске контексте, </w:t>
            </w:r>
            <w:r w:rsidR="00DE3141">
              <w:rPr>
                <w:lang w:val="sr-Cyrl-RS"/>
              </w:rPr>
              <w:t>тако да</w:t>
            </w:r>
            <w:r w:rsidRPr="00411F45">
              <w:rPr>
                <w:lang w:val="sr-Cyrl-RS"/>
              </w:rPr>
              <w:t xml:space="preserve"> ће поред доприноса трансмедијалној наратологији </w:t>
            </w:r>
            <w:r w:rsidR="00DE3141">
              <w:rPr>
                <w:lang w:val="sr-Cyrl-RS"/>
              </w:rPr>
              <w:t xml:space="preserve">резултати истраживања указати </w:t>
            </w:r>
            <w:r w:rsidRPr="00411F45">
              <w:rPr>
                <w:lang w:val="sr-Cyrl-RS"/>
              </w:rPr>
              <w:t xml:space="preserve">и </w:t>
            </w:r>
            <w:r w:rsidR="00DE3141">
              <w:rPr>
                <w:lang w:val="sr-Cyrl-RS"/>
              </w:rPr>
              <w:t xml:space="preserve">на </w:t>
            </w:r>
            <w:r w:rsidRPr="00411F45">
              <w:rPr>
                <w:lang w:val="sr-Cyrl-RS"/>
              </w:rPr>
              <w:t xml:space="preserve">савременост Нушићевог </w:t>
            </w:r>
            <w:r w:rsidR="00A810A1">
              <w:rPr>
                <w:lang w:val="sr-Cyrl-RS"/>
              </w:rPr>
              <w:t xml:space="preserve">књижевног </w:t>
            </w:r>
            <w:r w:rsidRPr="00411F45">
              <w:rPr>
                <w:lang w:val="sr-Cyrl-RS"/>
              </w:rPr>
              <w:t>опуса.</w:t>
            </w:r>
          </w:p>
        </w:tc>
      </w:tr>
      <w:tr w:rsidR="00EA0590" w:rsidRPr="0082465B" w14:paraId="5812CA66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7B05ECB0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5.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2D560537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Примењене научне методе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82465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EA0590" w:rsidRPr="0082465B" w14:paraId="5D927425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63EB8677" w14:textId="18ACE8F9" w:rsidR="00EA0590" w:rsidRPr="0082465B" w:rsidRDefault="00D85C7F" w:rsidP="00D85C7F">
            <w:pPr>
              <w:ind w:firstLine="530"/>
              <w:rPr>
                <w:lang w:val="ru-RU"/>
              </w:rPr>
            </w:pPr>
            <w:r w:rsidRPr="00411F45">
              <w:rPr>
                <w:lang w:val="sr-Cyrl-RS"/>
              </w:rPr>
              <w:t xml:space="preserve">У складу са постављеним задатком у општој истраживачкој методологији доминираће </w:t>
            </w:r>
            <w:r>
              <w:rPr>
                <w:lang w:val="sr-Cyrl-RS"/>
              </w:rPr>
              <w:t xml:space="preserve">трансмедијални и </w:t>
            </w:r>
            <w:r w:rsidRPr="00411F45">
              <w:rPr>
                <w:lang w:val="sr-Cyrl-RS"/>
              </w:rPr>
              <w:t xml:space="preserve">аналитичко-интерпретативни метод. </w:t>
            </w:r>
            <w:r w:rsidR="007A7CB0">
              <w:rPr>
                <w:lang w:val="sr-Cyrl-RS"/>
              </w:rPr>
              <w:t xml:space="preserve">Приликом </w:t>
            </w:r>
            <w:r w:rsidRPr="00411F45">
              <w:rPr>
                <w:lang w:val="sr-Cyrl-RS"/>
              </w:rPr>
              <w:t>анализ</w:t>
            </w:r>
            <w:r w:rsidR="007A7CB0">
              <w:rPr>
                <w:lang w:val="sr-Cyrl-RS"/>
              </w:rPr>
              <w:t>е</w:t>
            </w:r>
            <w:r w:rsidRPr="00411F45">
              <w:rPr>
                <w:lang w:val="sr-Cyrl-RS"/>
              </w:rPr>
              <w:t xml:space="preserve"> </w:t>
            </w:r>
            <w:r w:rsidR="007A7CB0">
              <w:rPr>
                <w:lang w:val="sr-Cyrl-RS"/>
              </w:rPr>
              <w:t>књижевних/позоришних/филмских јунака</w:t>
            </w:r>
            <w:r w:rsidRPr="00411F45">
              <w:rPr>
                <w:lang w:val="sr-Cyrl-RS"/>
              </w:rPr>
              <w:t xml:space="preserve"> </w:t>
            </w:r>
            <w:r w:rsidR="00DE3141">
              <w:rPr>
                <w:lang w:val="sr-Cyrl-RS"/>
              </w:rPr>
              <w:t xml:space="preserve">биће доминантна </w:t>
            </w:r>
            <w:r w:rsidRPr="00411F45">
              <w:rPr>
                <w:lang w:val="sr-Cyrl-RS"/>
              </w:rPr>
              <w:t>психо</w:t>
            </w:r>
            <w:r w:rsidR="00DE3141">
              <w:rPr>
                <w:lang w:val="sr-Cyrl-RS"/>
              </w:rPr>
              <w:t xml:space="preserve">аналитичка метода која ће омогућити детаљни </w:t>
            </w:r>
            <w:r w:rsidRPr="00411F45">
              <w:rPr>
                <w:lang w:val="sr-Cyrl-RS"/>
              </w:rPr>
              <w:t xml:space="preserve">увид у важан сегмент грађења Нушићевих јунака. </w:t>
            </w:r>
            <w:r w:rsidR="00DE3141">
              <w:rPr>
                <w:lang w:val="sr-Cyrl-RS"/>
              </w:rPr>
              <w:t>У анализи хумористичко-сатиричких заплета значајну улогу имаће прим</w:t>
            </w:r>
            <w:r w:rsidR="00A810A1">
              <w:rPr>
                <w:lang w:val="sr-Cyrl-RS"/>
              </w:rPr>
              <w:t>ј</w:t>
            </w:r>
            <w:r w:rsidR="00DE3141">
              <w:rPr>
                <w:lang w:val="sr-Cyrl-RS"/>
              </w:rPr>
              <w:t xml:space="preserve">ена аналитичко-интерпретативне методе. То ће нарочито доћи до изражаја у тумачењу позоришних и филмских </w:t>
            </w:r>
            <w:r w:rsidRPr="00411F45">
              <w:rPr>
                <w:lang w:val="sr-Cyrl-RS"/>
              </w:rPr>
              <w:t>адаптација</w:t>
            </w:r>
            <w:r w:rsidR="00DE3141">
              <w:rPr>
                <w:lang w:val="sr-Cyrl-RS"/>
              </w:rPr>
              <w:t xml:space="preserve"> јунака</w:t>
            </w:r>
            <w:r w:rsidRPr="00411F45">
              <w:rPr>
                <w:lang w:val="sr-Cyrl-RS"/>
              </w:rPr>
              <w:t xml:space="preserve">, </w:t>
            </w:r>
            <w:r w:rsidR="00DE3141">
              <w:rPr>
                <w:lang w:val="sr-Cyrl-RS"/>
              </w:rPr>
              <w:t xml:space="preserve">у обликовању </w:t>
            </w:r>
            <w:r w:rsidRPr="00411F45">
              <w:rPr>
                <w:lang w:val="sr-Cyrl-RS"/>
              </w:rPr>
              <w:t>њихови</w:t>
            </w:r>
            <w:r w:rsidR="00DE3141">
              <w:rPr>
                <w:lang w:val="sr-Cyrl-RS"/>
              </w:rPr>
              <w:t>х</w:t>
            </w:r>
            <w:r w:rsidRPr="00411F45">
              <w:rPr>
                <w:lang w:val="sr-Cyrl-RS"/>
              </w:rPr>
              <w:t xml:space="preserve"> физички</w:t>
            </w:r>
            <w:r w:rsidR="00DE3141">
              <w:rPr>
                <w:lang w:val="sr-Cyrl-RS"/>
              </w:rPr>
              <w:t>х</w:t>
            </w:r>
            <w:r w:rsidRPr="00411F45">
              <w:rPr>
                <w:lang w:val="sr-Cyrl-RS"/>
              </w:rPr>
              <w:t xml:space="preserve"> карактеристика – начину на који изгледају, облаче се, крећу и говоре. Акценат ће бити на костиму, сценографији и расв</w:t>
            </w:r>
            <w:r w:rsidR="00A810A1">
              <w:rPr>
                <w:lang w:val="sr-Cyrl-RS"/>
              </w:rPr>
              <w:t>ј</w:t>
            </w:r>
            <w:r w:rsidRPr="00411F45">
              <w:rPr>
                <w:lang w:val="sr-Cyrl-RS"/>
              </w:rPr>
              <w:t>ети. Грађење јунака у позоришној представи, ТВ драми, серији или филму никада није посао само редитеља. У томе учествује и глумац, његова особ</w:t>
            </w:r>
            <w:r w:rsidR="00A810A1">
              <w:rPr>
                <w:lang w:val="sr-Cyrl-RS"/>
              </w:rPr>
              <w:t>е</w:t>
            </w:r>
            <w:r w:rsidRPr="00411F45">
              <w:rPr>
                <w:lang w:val="sr-Cyrl-RS"/>
              </w:rPr>
              <w:t>ност, машта и таленат, који уз редитељско навођење има задатак да лик приближи или потпуно удаљи од замисли коју је првобитно имао писац текста.</w:t>
            </w:r>
          </w:p>
        </w:tc>
      </w:tr>
      <w:tr w:rsidR="00EA0590" w:rsidRPr="0082465B" w14:paraId="3D07A60B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67EA56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3"/>
            <w:vAlign w:val="center"/>
          </w:tcPr>
          <w:p w14:paraId="539B5054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ДА</w:t>
            </w:r>
          </w:p>
        </w:tc>
        <w:tc>
          <w:tcPr>
            <w:tcW w:w="3941" w:type="dxa"/>
            <w:gridSpan w:val="4"/>
            <w:vAlign w:val="center"/>
          </w:tcPr>
          <w:p w14:paraId="08659B68" w14:textId="77777777" w:rsidR="00EA0590" w:rsidRPr="007E1FCA" w:rsidRDefault="00EA0590" w:rsidP="0041648B">
            <w:pPr>
              <w:jc w:val="center"/>
              <w:rPr>
                <w:bCs/>
                <w:lang w:val="ru-RU"/>
              </w:rPr>
            </w:pPr>
            <w:r w:rsidRPr="007E1FCA">
              <w:rPr>
                <w:bCs/>
                <w:lang w:val="ru-RU"/>
              </w:rPr>
              <w:t>НЕ</w:t>
            </w:r>
          </w:p>
        </w:tc>
      </w:tr>
      <w:tr w:rsidR="00EA0590" w:rsidRPr="0082465B" w14:paraId="6B866A3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979D5DA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020DEE95" w14:textId="27C33F24" w:rsidR="00EA0590" w:rsidRPr="0082465B" w:rsidRDefault="007E1FCA" w:rsidP="0041648B">
            <w:pPr>
              <w:rPr>
                <w:lang w:val="ru-RU"/>
              </w:rPr>
            </w:pPr>
            <w:r>
              <w:rPr>
                <w:i/>
                <w:iCs/>
                <w:lang w:val="ru-RU"/>
              </w:rPr>
              <w:t xml:space="preserve"> </w:t>
            </w:r>
            <w:r w:rsidRPr="00F0345A">
              <w:rPr>
                <w:i/>
                <w:iCs/>
                <w:lang w:val="ru-RU"/>
              </w:rPr>
              <w:t>Дела Бранислава Нушића у трансмедијалном контексту</w:t>
            </w:r>
          </w:p>
        </w:tc>
      </w:tr>
      <w:tr w:rsidR="00EA0590" w:rsidRPr="0082465B" w14:paraId="39908FE5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1EA4F67B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b/>
                <w:lang w:val="ru-RU"/>
              </w:rPr>
              <w:t xml:space="preserve">ЗАКЉУЧАК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EA0590" w:rsidRPr="0082465B" w14:paraId="1C848F0F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tcBorders>
              <w:bottom w:val="single" w:sz="4" w:space="0" w:color="C0C0C0"/>
            </w:tcBorders>
            <w:vAlign w:val="center"/>
          </w:tcPr>
          <w:p w14:paraId="18414F1B" w14:textId="35FC1528" w:rsidR="00EA0590" w:rsidRPr="007A7CB0" w:rsidRDefault="00CE29F5" w:rsidP="00B000DB">
            <w:pPr>
              <w:ind w:firstLine="537"/>
              <w:rPr>
                <w:lang w:val="ru-RU" w:eastAsia="sr-Cyrl-CS"/>
              </w:rPr>
            </w:pPr>
            <w:r w:rsidRPr="00DE3141">
              <w:rPr>
                <w:lang w:val="ru-RU" w:eastAsia="sr-Cyrl-CS"/>
              </w:rPr>
              <w:t xml:space="preserve">Предложена тема докторске дисертације у потпуности је научно заснована и испуњава све битне захтјеве дисертабилности. </w:t>
            </w:r>
            <w:r w:rsidR="00DE3141">
              <w:rPr>
                <w:lang w:val="ru-RU" w:eastAsia="sr-Cyrl-CS"/>
              </w:rPr>
              <w:t>П</w:t>
            </w:r>
            <w:r w:rsidR="00DE3141" w:rsidRPr="00B642FF">
              <w:rPr>
                <w:lang w:val="sr-Cyrl-RS" w:eastAsia="sr-Cyrl-CS"/>
              </w:rPr>
              <w:t>ланирано истраживањ</w:t>
            </w:r>
            <w:r w:rsidR="00DE3141">
              <w:rPr>
                <w:lang w:val="sr-Cyrl-RS" w:eastAsia="sr-Cyrl-CS"/>
              </w:rPr>
              <w:t>е</w:t>
            </w:r>
            <w:r w:rsidR="00DE3141" w:rsidRPr="00B642FF">
              <w:rPr>
                <w:lang w:val="sr-Cyrl-RS" w:eastAsia="sr-Cyrl-CS"/>
              </w:rPr>
              <w:t xml:space="preserve"> подразум</w:t>
            </w:r>
            <w:r w:rsidR="009E4DDC">
              <w:rPr>
                <w:lang w:val="sr-Cyrl-RS" w:eastAsia="sr-Cyrl-CS"/>
              </w:rPr>
              <w:t>иј</w:t>
            </w:r>
            <w:r w:rsidR="00DE3141" w:rsidRPr="00B642FF">
              <w:rPr>
                <w:lang w:val="sr-Cyrl-RS" w:eastAsia="sr-Cyrl-CS"/>
              </w:rPr>
              <w:t xml:space="preserve">ева анализу Нушићевих дела </w:t>
            </w:r>
            <w:r w:rsidR="007A7CB0">
              <w:rPr>
                <w:lang w:val="sr-Cyrl-RS" w:eastAsia="sr-Cyrl-CS"/>
              </w:rPr>
              <w:t xml:space="preserve">у </w:t>
            </w:r>
            <w:r w:rsidR="00DE3141" w:rsidRPr="00B642FF">
              <w:rPr>
                <w:lang w:val="sr-Cyrl-RS" w:eastAsia="sr-Cyrl-CS"/>
              </w:rPr>
              <w:t>трансмедијалн</w:t>
            </w:r>
            <w:r w:rsidR="007A7CB0">
              <w:rPr>
                <w:lang w:val="sr-Cyrl-RS" w:eastAsia="sr-Cyrl-CS"/>
              </w:rPr>
              <w:t>ом контексту</w:t>
            </w:r>
            <w:r w:rsidR="00DE3141" w:rsidRPr="00B642FF">
              <w:rPr>
                <w:lang w:val="sr-Cyrl-RS" w:eastAsia="sr-Cyrl-CS"/>
              </w:rPr>
              <w:t xml:space="preserve">, </w:t>
            </w:r>
            <w:r w:rsidR="007A7CB0">
              <w:rPr>
                <w:lang w:val="sr-Cyrl-RS" w:eastAsia="sr-Cyrl-CS"/>
              </w:rPr>
              <w:t xml:space="preserve">у оквиру актуелних </w:t>
            </w:r>
            <w:r w:rsidR="00DE3141" w:rsidRPr="00B642FF">
              <w:rPr>
                <w:lang w:val="sr-Cyrl-RS" w:eastAsia="sr-Cyrl-CS"/>
              </w:rPr>
              <w:t>пост</w:t>
            </w:r>
            <w:r w:rsidR="007A7CB0">
              <w:rPr>
                <w:lang w:val="sr-Cyrl-RS" w:eastAsia="sr-Cyrl-CS"/>
              </w:rPr>
              <w:t>структуралистих тумачења књижевних текстова</w:t>
            </w:r>
            <w:r w:rsidR="00DE3141">
              <w:rPr>
                <w:lang w:val="sr-Cyrl-RS" w:eastAsia="sr-Cyrl-CS"/>
              </w:rPr>
              <w:t>, кој</w:t>
            </w:r>
            <w:r w:rsidR="007A7CB0">
              <w:rPr>
                <w:lang w:val="sr-Cyrl-RS" w:eastAsia="sr-Cyrl-CS"/>
              </w:rPr>
              <w:t>а</w:t>
            </w:r>
            <w:r w:rsidR="00DE3141">
              <w:rPr>
                <w:lang w:val="sr-Cyrl-RS" w:eastAsia="sr-Cyrl-CS"/>
              </w:rPr>
              <w:t xml:space="preserve"> до сада ни</w:t>
            </w:r>
            <w:r w:rsidR="007A7CB0">
              <w:rPr>
                <w:lang w:val="sr-Cyrl-RS" w:eastAsia="sr-Cyrl-CS"/>
              </w:rPr>
              <w:t>су</w:t>
            </w:r>
            <w:r w:rsidR="00DE3141">
              <w:rPr>
                <w:lang w:val="sr-Cyrl-RS" w:eastAsia="sr-Cyrl-CS"/>
              </w:rPr>
              <w:t xml:space="preserve"> </w:t>
            </w:r>
            <w:r w:rsidR="007A7CB0">
              <w:rPr>
                <w:lang w:val="sr-Cyrl-RS" w:eastAsia="sr-Cyrl-CS"/>
              </w:rPr>
              <w:t xml:space="preserve">истраживана или нису </w:t>
            </w:r>
            <w:r w:rsidR="00DE3141">
              <w:rPr>
                <w:lang w:val="sr-Cyrl-RS" w:eastAsia="sr-Cyrl-CS"/>
              </w:rPr>
              <w:t>истраживан</w:t>
            </w:r>
            <w:r w:rsidR="007A7CB0">
              <w:rPr>
                <w:lang w:val="sr-Cyrl-RS" w:eastAsia="sr-Cyrl-CS"/>
              </w:rPr>
              <w:t>а на свеобухватан начин</w:t>
            </w:r>
            <w:r w:rsidR="00DE3141" w:rsidRPr="00B642FF">
              <w:rPr>
                <w:lang w:val="sr-Cyrl-RS" w:eastAsia="sr-Cyrl-CS"/>
              </w:rPr>
              <w:t xml:space="preserve">. </w:t>
            </w:r>
            <w:r w:rsidR="007A7CB0">
              <w:rPr>
                <w:lang w:val="sr-Cyrl-RS" w:eastAsia="sr-Cyrl-CS"/>
              </w:rPr>
              <w:t xml:space="preserve">Анализа </w:t>
            </w:r>
            <w:r w:rsidR="00DE3141" w:rsidRPr="00B642FF">
              <w:rPr>
                <w:lang w:val="sr-Cyrl-RS" w:eastAsia="sr-Cyrl-CS"/>
              </w:rPr>
              <w:t>Нушићев</w:t>
            </w:r>
            <w:r w:rsidR="007A7CB0">
              <w:rPr>
                <w:lang w:val="sr-Cyrl-RS" w:eastAsia="sr-Cyrl-CS"/>
              </w:rPr>
              <w:t>их</w:t>
            </w:r>
            <w:r w:rsidR="00DE3141" w:rsidRPr="00B642FF">
              <w:rPr>
                <w:lang w:val="sr-Cyrl-RS" w:eastAsia="sr-Cyrl-CS"/>
              </w:rPr>
              <w:t xml:space="preserve"> комедиј</w:t>
            </w:r>
            <w:r w:rsidR="007A7CB0">
              <w:rPr>
                <w:lang w:val="sr-Cyrl-RS" w:eastAsia="sr-Cyrl-CS"/>
              </w:rPr>
              <w:t>а, као и других драмских и</w:t>
            </w:r>
            <w:r w:rsidR="00DE3141" w:rsidRPr="00B642FF">
              <w:rPr>
                <w:lang w:val="sr-Cyrl-RS" w:eastAsia="sr-Cyrl-CS"/>
              </w:rPr>
              <w:t xml:space="preserve"> прозн</w:t>
            </w:r>
            <w:r w:rsidR="007A7CB0">
              <w:rPr>
                <w:lang w:val="sr-Cyrl-RS" w:eastAsia="sr-Cyrl-CS"/>
              </w:rPr>
              <w:t>их</w:t>
            </w:r>
            <w:r w:rsidR="00DE3141" w:rsidRPr="00B642FF">
              <w:rPr>
                <w:lang w:val="sr-Cyrl-RS" w:eastAsia="sr-Cyrl-CS"/>
              </w:rPr>
              <w:t xml:space="preserve"> д</w:t>
            </w:r>
            <w:r w:rsidR="00CB7386">
              <w:rPr>
                <w:lang w:val="sr-Cyrl-RS" w:eastAsia="sr-Cyrl-CS"/>
              </w:rPr>
              <w:t>ј</w:t>
            </w:r>
            <w:r w:rsidR="00DE3141" w:rsidRPr="00B642FF">
              <w:rPr>
                <w:lang w:val="sr-Cyrl-RS" w:eastAsia="sr-Cyrl-CS"/>
              </w:rPr>
              <w:t xml:space="preserve">ела из перспективе њихових </w:t>
            </w:r>
            <w:r w:rsidR="007A7CB0">
              <w:rPr>
                <w:lang w:val="sr-Cyrl-RS" w:eastAsia="sr-Cyrl-CS"/>
              </w:rPr>
              <w:t xml:space="preserve">позоришних и филмских </w:t>
            </w:r>
            <w:r w:rsidR="00DE3141" w:rsidRPr="00B642FF">
              <w:rPr>
                <w:lang w:val="sr-Cyrl-RS" w:eastAsia="sr-Cyrl-CS"/>
              </w:rPr>
              <w:t xml:space="preserve">адаптација, </w:t>
            </w:r>
            <w:r w:rsidR="007A7CB0">
              <w:rPr>
                <w:lang w:val="sr-Cyrl-RS" w:eastAsia="sr-Cyrl-CS"/>
              </w:rPr>
              <w:t>доприн</w:t>
            </w:r>
            <w:r w:rsidR="00CB7386">
              <w:rPr>
                <w:lang w:val="sr-Cyrl-RS" w:eastAsia="sr-Cyrl-CS"/>
              </w:rPr>
              <w:t>иј</w:t>
            </w:r>
            <w:r w:rsidR="007A7CB0">
              <w:rPr>
                <w:lang w:val="sr-Cyrl-RS" w:eastAsia="sr-Cyrl-CS"/>
              </w:rPr>
              <w:t>еће</w:t>
            </w:r>
            <w:r w:rsidR="00DE3141" w:rsidRPr="00B642FF">
              <w:rPr>
                <w:lang w:val="sr-Cyrl-RS" w:eastAsia="sr-Cyrl-CS"/>
              </w:rPr>
              <w:t xml:space="preserve"> </w:t>
            </w:r>
            <w:r w:rsidR="007A7CB0">
              <w:rPr>
                <w:lang w:val="sr-Cyrl-RS" w:eastAsia="sr-Cyrl-CS"/>
              </w:rPr>
              <w:t>сагледав</w:t>
            </w:r>
            <w:r w:rsidR="009E4DDC">
              <w:rPr>
                <w:lang w:val="sr-Cyrl-RS" w:eastAsia="sr-Cyrl-CS"/>
              </w:rPr>
              <w:t>а</w:t>
            </w:r>
            <w:r w:rsidR="007A7CB0">
              <w:rPr>
                <w:lang w:val="sr-Cyrl-RS" w:eastAsia="sr-Cyrl-CS"/>
              </w:rPr>
              <w:t>њу</w:t>
            </w:r>
            <w:r w:rsidR="00DE3141" w:rsidRPr="00B642FF">
              <w:rPr>
                <w:lang w:val="sr-Cyrl-RS" w:eastAsia="sr-Cyrl-CS"/>
              </w:rPr>
              <w:t xml:space="preserve"> Нушићев</w:t>
            </w:r>
            <w:r w:rsidR="007A7CB0">
              <w:rPr>
                <w:lang w:val="sr-Cyrl-RS" w:eastAsia="sr-Cyrl-CS"/>
              </w:rPr>
              <w:t>ог д</w:t>
            </w:r>
            <w:r w:rsidR="009E4DDC">
              <w:rPr>
                <w:lang w:val="sr-Cyrl-RS" w:eastAsia="sr-Cyrl-CS"/>
              </w:rPr>
              <w:t>ј</w:t>
            </w:r>
            <w:r w:rsidR="007A7CB0">
              <w:rPr>
                <w:lang w:val="sr-Cyrl-RS" w:eastAsia="sr-Cyrl-CS"/>
              </w:rPr>
              <w:t>ела из нове научне</w:t>
            </w:r>
            <w:r w:rsidR="00CB7386">
              <w:rPr>
                <w:lang w:val="sr-Cyrl-RS" w:eastAsia="sr-Cyrl-CS"/>
              </w:rPr>
              <w:t>/умјетничке</w:t>
            </w:r>
            <w:r w:rsidR="007A7CB0">
              <w:rPr>
                <w:lang w:val="sr-Cyrl-RS" w:eastAsia="sr-Cyrl-CS"/>
              </w:rPr>
              <w:t xml:space="preserve"> перспективе</w:t>
            </w:r>
            <w:r w:rsidR="00DE3141" w:rsidRPr="00B642FF">
              <w:rPr>
                <w:lang w:val="sr-Cyrl-RS" w:eastAsia="sr-Cyrl-CS"/>
              </w:rPr>
              <w:t xml:space="preserve">, а тиме </w:t>
            </w:r>
            <w:r w:rsidR="007A7CB0">
              <w:rPr>
                <w:lang w:val="sr-Cyrl-RS" w:eastAsia="sr-Cyrl-CS"/>
              </w:rPr>
              <w:t xml:space="preserve">ће дати </w:t>
            </w:r>
            <w:r w:rsidR="00DE3141" w:rsidRPr="00B642FF">
              <w:rPr>
                <w:lang w:val="sr-Cyrl-RS" w:eastAsia="sr-Cyrl-CS"/>
              </w:rPr>
              <w:t xml:space="preserve">и нови поглед </w:t>
            </w:r>
            <w:r w:rsidR="007A7CB0">
              <w:rPr>
                <w:lang w:val="sr-Cyrl-RS" w:eastAsia="sr-Cyrl-CS"/>
              </w:rPr>
              <w:t>н</w:t>
            </w:r>
            <w:r w:rsidR="00DE3141" w:rsidRPr="00B642FF">
              <w:rPr>
                <w:lang w:val="sr-Cyrl-RS" w:eastAsia="sr-Cyrl-CS"/>
              </w:rPr>
              <w:t xml:space="preserve">а </w:t>
            </w:r>
            <w:r w:rsidR="007A7CB0">
              <w:rPr>
                <w:lang w:val="sr-Cyrl-RS" w:eastAsia="sr-Cyrl-CS"/>
              </w:rPr>
              <w:t xml:space="preserve">један </w:t>
            </w:r>
            <w:r w:rsidR="00DE3141" w:rsidRPr="00B642FF">
              <w:rPr>
                <w:lang w:val="sr-Cyrl-RS" w:eastAsia="sr-Cyrl-CS"/>
              </w:rPr>
              <w:t xml:space="preserve">битан сегмент </w:t>
            </w:r>
            <w:r w:rsidR="007A7CB0">
              <w:rPr>
                <w:lang w:val="sr-Cyrl-RS" w:eastAsia="sr-Cyrl-CS"/>
              </w:rPr>
              <w:t xml:space="preserve">изучавања </w:t>
            </w:r>
            <w:r w:rsidR="00DE3141" w:rsidRPr="00B642FF">
              <w:rPr>
                <w:lang w:val="sr-Cyrl-RS" w:eastAsia="sr-Cyrl-CS"/>
              </w:rPr>
              <w:t>српске књижевности. Посебна пажња биће усм</w:t>
            </w:r>
            <w:r w:rsidR="009E4DDC">
              <w:rPr>
                <w:lang w:val="sr-Cyrl-RS" w:eastAsia="sr-Cyrl-CS"/>
              </w:rPr>
              <w:t>ј</w:t>
            </w:r>
            <w:r w:rsidR="00DE3141" w:rsidRPr="00B642FF">
              <w:rPr>
                <w:lang w:val="sr-Cyrl-RS" w:eastAsia="sr-Cyrl-CS"/>
              </w:rPr>
              <w:t>ерена ка медијима и различитим начинима на који преносе св</w:t>
            </w:r>
            <w:r w:rsidR="009E4DDC">
              <w:rPr>
                <w:lang w:val="sr-Cyrl-RS" w:eastAsia="sr-Cyrl-CS"/>
              </w:rPr>
              <w:t>иј</w:t>
            </w:r>
            <w:r w:rsidR="00DE3141" w:rsidRPr="00B642FF">
              <w:rPr>
                <w:lang w:val="sr-Cyrl-RS" w:eastAsia="sr-Cyrl-CS"/>
              </w:rPr>
              <w:t>ет</w:t>
            </w:r>
            <w:r w:rsidR="00DE3141">
              <w:rPr>
                <w:lang w:val="sr-Cyrl-RS" w:eastAsia="sr-Cyrl-CS"/>
              </w:rPr>
              <w:t xml:space="preserve"> </w:t>
            </w:r>
            <w:r w:rsidR="009E4DDC">
              <w:rPr>
                <w:lang w:val="sr-Cyrl-RS" w:eastAsia="sr-Cyrl-CS"/>
              </w:rPr>
              <w:t>комедије/драме/</w:t>
            </w:r>
            <w:r w:rsidR="00DE3141">
              <w:rPr>
                <w:lang w:val="sr-Cyrl-RS" w:eastAsia="sr-Cyrl-CS"/>
              </w:rPr>
              <w:t>приче.</w:t>
            </w:r>
            <w:r w:rsidR="00B000DB">
              <w:rPr>
                <w:lang w:val="ru-RU" w:eastAsia="sr-Cyrl-CS"/>
              </w:rPr>
              <w:t xml:space="preserve"> </w:t>
            </w:r>
            <w:r w:rsidRPr="00DE3141">
              <w:rPr>
                <w:lang w:val="ru-RU" w:eastAsia="sr-Cyrl-CS"/>
              </w:rPr>
              <w:t xml:space="preserve">Захваљујући свему наведеном, предложена тема докторске дисертације има све предуслове да успјешно реализује истраживање једног важног а недовољно протумаченог </w:t>
            </w:r>
            <w:r w:rsidR="007A7CB0">
              <w:rPr>
                <w:lang w:val="ru-RU" w:eastAsia="sr-Cyrl-CS"/>
              </w:rPr>
              <w:t>аспекта</w:t>
            </w:r>
            <w:r w:rsidRPr="00DE3141">
              <w:rPr>
                <w:lang w:val="ru-RU" w:eastAsia="sr-Cyrl-CS"/>
              </w:rPr>
              <w:t xml:space="preserve"> српске књижевн</w:t>
            </w:r>
            <w:r w:rsidR="007A7CB0">
              <w:rPr>
                <w:lang w:val="ru-RU" w:eastAsia="sr-Cyrl-CS"/>
              </w:rPr>
              <w:t>ости</w:t>
            </w:r>
            <w:r w:rsidRPr="00DE3141">
              <w:rPr>
                <w:lang w:val="ru-RU" w:eastAsia="sr-Cyrl-CS"/>
              </w:rPr>
              <w:t xml:space="preserve"> и да као таква значајно допринесе новим сазнањима науке о књижевности.</w:t>
            </w:r>
            <w:r w:rsidR="00EA0590" w:rsidRPr="0082465B">
              <w:rPr>
                <w:lang w:val="ru-RU"/>
              </w:rPr>
              <w:t xml:space="preserve">   </w:t>
            </w:r>
          </w:p>
        </w:tc>
      </w:tr>
      <w:tr w:rsidR="00EA0590" w:rsidRPr="0082465B" w14:paraId="1D480335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2470FA88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ПОДАЦИ О КОМИСИЈИ</w:t>
            </w:r>
          </w:p>
        </w:tc>
      </w:tr>
      <w:tr w:rsidR="00EA0590" w:rsidRPr="0082465B" w14:paraId="57E9BABC" w14:textId="77777777" w:rsidTr="0041648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6EAFCCE3" w14:textId="570BF1BB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Број одлуке Н</w:t>
            </w:r>
            <w:r w:rsidR="003A1891">
              <w:rPr>
                <w:sz w:val="18"/>
                <w:szCs w:val="18"/>
                <w:lang w:val="ru-RU"/>
              </w:rPr>
              <w:t>С</w:t>
            </w:r>
            <w:r w:rsidRPr="0082465B">
              <w:rPr>
                <w:sz w:val="18"/>
                <w:szCs w:val="18"/>
                <w:lang w:val="ru-RU"/>
              </w:rPr>
              <w:t>В о именовању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695408FD" w14:textId="735F98BA" w:rsidR="00EA0590" w:rsidRPr="00811784" w:rsidRDefault="00D4578D" w:rsidP="003A1891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sr-Cyrl-RS"/>
              </w:rPr>
              <w:t>8/18-01-01</w:t>
            </w:r>
            <w:r w:rsidR="00811784"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lang w:val="sr-Cyrl-RS"/>
              </w:rPr>
              <w:t>/20-0</w:t>
            </w:r>
            <w:r w:rsidR="00811784">
              <w:rPr>
                <w:b/>
                <w:sz w:val="18"/>
                <w:szCs w:val="18"/>
                <w:lang w:val="en-US"/>
              </w:rPr>
              <w:t>08</w:t>
            </w:r>
          </w:p>
        </w:tc>
      </w:tr>
      <w:tr w:rsidR="00EA0590" w:rsidRPr="0082465B" w14:paraId="3ECA3EE7" w14:textId="77777777" w:rsidTr="0041648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3CAD9C8F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6B5BE0C1" w14:textId="49879776" w:rsidR="00EA0590" w:rsidRPr="0082465B" w:rsidRDefault="00811784" w:rsidP="007F37FA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en-US"/>
              </w:rPr>
              <w:t>25</w:t>
            </w:r>
            <w:r w:rsidR="00FB01DA">
              <w:rPr>
                <w:b/>
                <w:sz w:val="18"/>
                <w:szCs w:val="18"/>
                <w:lang w:val="ru-RU"/>
              </w:rPr>
              <w:t xml:space="preserve">. </w:t>
            </w:r>
            <w:r w:rsidR="002620DF">
              <w:rPr>
                <w:b/>
                <w:sz w:val="18"/>
                <w:szCs w:val="18"/>
                <w:lang w:val="ru-RU"/>
              </w:rPr>
              <w:t>1</w:t>
            </w:r>
            <w:r w:rsidR="00D4578D">
              <w:rPr>
                <w:b/>
                <w:sz w:val="18"/>
                <w:szCs w:val="18"/>
                <w:lang w:val="ru-RU"/>
              </w:rPr>
              <w:t>2</w:t>
            </w:r>
            <w:r w:rsidR="00FB01DA">
              <w:rPr>
                <w:b/>
                <w:sz w:val="18"/>
                <w:szCs w:val="18"/>
                <w:lang w:val="ru-RU"/>
              </w:rPr>
              <w:t>. 2020. године</w:t>
            </w:r>
          </w:p>
        </w:tc>
      </w:tr>
      <w:tr w:rsidR="00EA0590" w:rsidRPr="0082465B" w14:paraId="70605C84" w14:textId="77777777" w:rsidTr="0041648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6FDC083F" w14:textId="77777777" w:rsidR="00EA0590" w:rsidRPr="0082465B" w:rsidRDefault="00EA0590" w:rsidP="0041648B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8" w:type="dxa"/>
            <w:gridSpan w:val="5"/>
            <w:shd w:val="clear" w:color="auto" w:fill="auto"/>
            <w:vAlign w:val="center"/>
          </w:tcPr>
          <w:p w14:paraId="67353B0A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21" w:type="dxa"/>
            <w:gridSpan w:val="3"/>
            <w:vAlign w:val="center"/>
          </w:tcPr>
          <w:p w14:paraId="0026ED0B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EA0590" w:rsidRPr="0082465B" w14:paraId="6172AE92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3BCA2386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54C19F60" w14:textId="5F961132" w:rsidR="00EA0590" w:rsidRPr="007F37FA" w:rsidRDefault="0066129E" w:rsidP="0041648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Др </w:t>
            </w:r>
            <w:r w:rsidR="00811784">
              <w:rPr>
                <w:lang w:val="sr-Cyrl-RS"/>
              </w:rPr>
              <w:t>Јелена Јован</w:t>
            </w:r>
            <w:r w:rsidR="00466E19">
              <w:rPr>
                <w:lang w:val="sr-Cyrl-RS"/>
              </w:rPr>
              <w:t>о</w:t>
            </w:r>
            <w:r w:rsidR="00811784">
              <w:rPr>
                <w:lang w:val="sr-Cyrl-RS"/>
              </w:rPr>
              <w:t>вић</w:t>
            </w:r>
            <w:r w:rsidR="00D03211">
              <w:rPr>
                <w:lang w:val="sr-Cyrl-RS"/>
              </w:rPr>
              <w:t>, ванредни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30BFB98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1DBFC84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7F779A5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79FF70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1ED46ECF" w14:textId="1828D092" w:rsidR="00EA0590" w:rsidRPr="0082465B" w:rsidRDefault="00811784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6ABB591" w14:textId="5437DC0C" w:rsidR="00EA0590" w:rsidRPr="0082465B" w:rsidRDefault="00811784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146168A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4557369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6C029FA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3BB2EAE2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9E9C2A2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7DC9538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5B8FF9F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3D397CE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61798A20" w14:textId="557C50C0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811784">
              <w:rPr>
                <w:lang w:val="ru-RU"/>
              </w:rPr>
              <w:t>Горан Максимовић</w:t>
            </w:r>
            <w:r w:rsidR="00017893">
              <w:rPr>
                <w:lang w:val="ru-RU"/>
              </w:rPr>
              <w:t xml:space="preserve">, </w:t>
            </w:r>
            <w:r w:rsidR="00D03211">
              <w:rPr>
                <w:lang w:val="ru-RU"/>
              </w:rPr>
              <w:t>редовни</w:t>
            </w:r>
            <w:r w:rsidR="00D4578D">
              <w:rPr>
                <w:lang w:val="ru-RU"/>
              </w:rPr>
              <w:t xml:space="preserve"> професор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B4D029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49A262E6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5EC9E40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3707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316D9EA8" w14:textId="62964BFA" w:rsidR="00EA0590" w:rsidRPr="0082465B" w:rsidRDefault="00D03211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56C5352" w14:textId="2F75F0DB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37C544C9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DC5D207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17FBED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1CC808EE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410B645C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6D15F0DA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6A00DCF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29175A0B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7FE62971" w14:textId="722BC6EB" w:rsidR="00EA0590" w:rsidRPr="0082465B" w:rsidRDefault="00471A5C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811784">
              <w:rPr>
                <w:lang w:val="ru-RU"/>
              </w:rPr>
              <w:t>Александар Пејчић</w:t>
            </w:r>
            <w:r w:rsidR="005D7894">
              <w:rPr>
                <w:lang w:val="ru-RU"/>
              </w:rPr>
              <w:t xml:space="preserve">, </w:t>
            </w:r>
            <w:r w:rsidR="00811784">
              <w:rPr>
                <w:lang w:val="ru-RU"/>
              </w:rPr>
              <w:t>виши научни сарадник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D0BEE6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5238584B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2C7A2F7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EB2DD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1609B01" w14:textId="4A5C05DA" w:rsidR="00EA0590" w:rsidRPr="0082465B" w:rsidRDefault="00D03211" w:rsidP="005D7894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књижевност</w:t>
            </w:r>
            <w:r w:rsidR="00811784">
              <w:rPr>
                <w:lang w:val="ru-RU"/>
              </w:rPr>
              <w:t xml:space="preserve"> 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2276395" w14:textId="5D685F69" w:rsidR="00EA0590" w:rsidRPr="0082465B" w:rsidRDefault="00811784" w:rsidP="0066129E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Институт за књижевност и уметност у Београду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4C242C63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748337F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FC39EC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EAEB884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3FE98EB3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E142E7B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701101" w:rsidRPr="0082465B" w14:paraId="00C95893" w14:textId="77777777" w:rsidTr="0041648B">
        <w:trPr>
          <w:trHeight w:val="340"/>
          <w:jc w:val="center"/>
        </w:trPr>
        <w:tc>
          <w:tcPr>
            <w:tcW w:w="10786" w:type="dxa"/>
            <w:gridSpan w:val="10"/>
          </w:tcPr>
          <w:p w14:paraId="51EFA579" w14:textId="76043890" w:rsidR="00701101" w:rsidRPr="00466E19" w:rsidRDefault="00701101" w:rsidP="00466E19">
            <w:pPr>
              <w:rPr>
                <w:b/>
                <w:lang w:val="ru-RU"/>
              </w:rPr>
            </w:pPr>
            <w:r w:rsidRPr="0082465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6A0FF225" w14:textId="1B0BE17B" w:rsidR="00701101" w:rsidRPr="0082465B" w:rsidRDefault="00466E19" w:rsidP="00701101">
            <w:pPr>
              <w:tabs>
                <w:tab w:val="left" w:pos="100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Ниш, 1</w:t>
            </w:r>
            <w:r w:rsidR="009E4DDC">
              <w:rPr>
                <w:b/>
                <w:lang w:val="ru-RU"/>
              </w:rPr>
              <w:t>4</w:t>
            </w:r>
            <w:r>
              <w:rPr>
                <w:b/>
                <w:lang w:val="ru-RU"/>
              </w:rPr>
              <w:t>. 01. 2021.</w:t>
            </w:r>
          </w:p>
        </w:tc>
      </w:tr>
    </w:tbl>
    <w:p w14:paraId="48341E73" w14:textId="77777777" w:rsidR="00EA0590" w:rsidRDefault="00EA0590" w:rsidP="00EA0590">
      <w:pPr>
        <w:rPr>
          <w:lang w:val="ru-RU"/>
        </w:rPr>
      </w:pPr>
    </w:p>
    <w:sectPr w:rsidR="00EA0590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-BoldMT">
    <w:altName w:val="MS Mincho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90"/>
    <w:rsid w:val="00006F76"/>
    <w:rsid w:val="00013C2B"/>
    <w:rsid w:val="0001579C"/>
    <w:rsid w:val="00016430"/>
    <w:rsid w:val="00017893"/>
    <w:rsid w:val="0002441D"/>
    <w:rsid w:val="00027524"/>
    <w:rsid w:val="00037810"/>
    <w:rsid w:val="00040988"/>
    <w:rsid w:val="00041E41"/>
    <w:rsid w:val="000524B8"/>
    <w:rsid w:val="00054D22"/>
    <w:rsid w:val="00056C23"/>
    <w:rsid w:val="00057BEC"/>
    <w:rsid w:val="0006668B"/>
    <w:rsid w:val="00072561"/>
    <w:rsid w:val="00072DE3"/>
    <w:rsid w:val="0007450C"/>
    <w:rsid w:val="00077388"/>
    <w:rsid w:val="00077C9F"/>
    <w:rsid w:val="00093EDE"/>
    <w:rsid w:val="00097673"/>
    <w:rsid w:val="000A282B"/>
    <w:rsid w:val="000A37DD"/>
    <w:rsid w:val="000B1CEC"/>
    <w:rsid w:val="000B5DCD"/>
    <w:rsid w:val="000C3037"/>
    <w:rsid w:val="000C6150"/>
    <w:rsid w:val="000C7175"/>
    <w:rsid w:val="000D3FCC"/>
    <w:rsid w:val="000E1D84"/>
    <w:rsid w:val="00102660"/>
    <w:rsid w:val="00104D3C"/>
    <w:rsid w:val="00117D97"/>
    <w:rsid w:val="00135133"/>
    <w:rsid w:val="00155237"/>
    <w:rsid w:val="0016069F"/>
    <w:rsid w:val="00163C81"/>
    <w:rsid w:val="00166597"/>
    <w:rsid w:val="001702AE"/>
    <w:rsid w:val="00173E8E"/>
    <w:rsid w:val="00175595"/>
    <w:rsid w:val="00180F1E"/>
    <w:rsid w:val="00181E00"/>
    <w:rsid w:val="00184EBC"/>
    <w:rsid w:val="001924A9"/>
    <w:rsid w:val="00193CD5"/>
    <w:rsid w:val="001C63E6"/>
    <w:rsid w:val="001D4690"/>
    <w:rsid w:val="001E2C91"/>
    <w:rsid w:val="001E4F8A"/>
    <w:rsid w:val="001E736F"/>
    <w:rsid w:val="00202A2C"/>
    <w:rsid w:val="002162C9"/>
    <w:rsid w:val="00223C25"/>
    <w:rsid w:val="00236724"/>
    <w:rsid w:val="00240606"/>
    <w:rsid w:val="00247101"/>
    <w:rsid w:val="00251629"/>
    <w:rsid w:val="0025460E"/>
    <w:rsid w:val="002620DF"/>
    <w:rsid w:val="00262769"/>
    <w:rsid w:val="002675B3"/>
    <w:rsid w:val="00267F77"/>
    <w:rsid w:val="0027589E"/>
    <w:rsid w:val="002804BD"/>
    <w:rsid w:val="00286E2B"/>
    <w:rsid w:val="002911B6"/>
    <w:rsid w:val="00293EC0"/>
    <w:rsid w:val="00294B84"/>
    <w:rsid w:val="002A1145"/>
    <w:rsid w:val="002A2EF8"/>
    <w:rsid w:val="002B0550"/>
    <w:rsid w:val="002B5E87"/>
    <w:rsid w:val="002C016F"/>
    <w:rsid w:val="002C0C2F"/>
    <w:rsid w:val="002C0F7B"/>
    <w:rsid w:val="002C3691"/>
    <w:rsid w:val="002C7151"/>
    <w:rsid w:val="002D170C"/>
    <w:rsid w:val="002E33B2"/>
    <w:rsid w:val="00307A8A"/>
    <w:rsid w:val="0031017D"/>
    <w:rsid w:val="003114FA"/>
    <w:rsid w:val="003244ED"/>
    <w:rsid w:val="00327C6A"/>
    <w:rsid w:val="00335854"/>
    <w:rsid w:val="00336585"/>
    <w:rsid w:val="00337B29"/>
    <w:rsid w:val="00341CFA"/>
    <w:rsid w:val="00344242"/>
    <w:rsid w:val="0034641F"/>
    <w:rsid w:val="00355315"/>
    <w:rsid w:val="00360FD8"/>
    <w:rsid w:val="00367E03"/>
    <w:rsid w:val="003741EB"/>
    <w:rsid w:val="00376DA4"/>
    <w:rsid w:val="00377F02"/>
    <w:rsid w:val="00384C15"/>
    <w:rsid w:val="003A103B"/>
    <w:rsid w:val="003A1891"/>
    <w:rsid w:val="003A30CE"/>
    <w:rsid w:val="003B56A2"/>
    <w:rsid w:val="003C2F76"/>
    <w:rsid w:val="003C49C3"/>
    <w:rsid w:val="003D23C5"/>
    <w:rsid w:val="003D28BB"/>
    <w:rsid w:val="003E22D0"/>
    <w:rsid w:val="003E4B81"/>
    <w:rsid w:val="003F7913"/>
    <w:rsid w:val="004038AE"/>
    <w:rsid w:val="00405FB4"/>
    <w:rsid w:val="00417EA6"/>
    <w:rsid w:val="0042344C"/>
    <w:rsid w:val="0043650F"/>
    <w:rsid w:val="004372C2"/>
    <w:rsid w:val="004379C2"/>
    <w:rsid w:val="004415B2"/>
    <w:rsid w:val="00451166"/>
    <w:rsid w:val="00454603"/>
    <w:rsid w:val="00466E19"/>
    <w:rsid w:val="004672F7"/>
    <w:rsid w:val="00467425"/>
    <w:rsid w:val="00471A5C"/>
    <w:rsid w:val="00481A02"/>
    <w:rsid w:val="004946B4"/>
    <w:rsid w:val="0049543A"/>
    <w:rsid w:val="00497D23"/>
    <w:rsid w:val="004A7553"/>
    <w:rsid w:val="004B0226"/>
    <w:rsid w:val="004B0A64"/>
    <w:rsid w:val="004C6849"/>
    <w:rsid w:val="004C79D3"/>
    <w:rsid w:val="004D4DDB"/>
    <w:rsid w:val="004E11C2"/>
    <w:rsid w:val="00510ABD"/>
    <w:rsid w:val="00517A85"/>
    <w:rsid w:val="005205F0"/>
    <w:rsid w:val="005316BB"/>
    <w:rsid w:val="005327FA"/>
    <w:rsid w:val="00535CDD"/>
    <w:rsid w:val="005369BC"/>
    <w:rsid w:val="00550DCE"/>
    <w:rsid w:val="0055613D"/>
    <w:rsid w:val="005570F7"/>
    <w:rsid w:val="00561771"/>
    <w:rsid w:val="00561E3B"/>
    <w:rsid w:val="00562A24"/>
    <w:rsid w:val="005651AB"/>
    <w:rsid w:val="0056546E"/>
    <w:rsid w:val="00577B22"/>
    <w:rsid w:val="00582DEF"/>
    <w:rsid w:val="0058551A"/>
    <w:rsid w:val="0058745C"/>
    <w:rsid w:val="0059595B"/>
    <w:rsid w:val="00597CCE"/>
    <w:rsid w:val="005B676F"/>
    <w:rsid w:val="005C2657"/>
    <w:rsid w:val="005C602E"/>
    <w:rsid w:val="005C6735"/>
    <w:rsid w:val="005D0208"/>
    <w:rsid w:val="005D60F7"/>
    <w:rsid w:val="005D7894"/>
    <w:rsid w:val="005D7D0D"/>
    <w:rsid w:val="005E0159"/>
    <w:rsid w:val="005E3B51"/>
    <w:rsid w:val="005E789C"/>
    <w:rsid w:val="005F577B"/>
    <w:rsid w:val="00601677"/>
    <w:rsid w:val="006030FA"/>
    <w:rsid w:val="00623AE9"/>
    <w:rsid w:val="00633CF9"/>
    <w:rsid w:val="00635370"/>
    <w:rsid w:val="00641A05"/>
    <w:rsid w:val="00642A07"/>
    <w:rsid w:val="00647C9F"/>
    <w:rsid w:val="0066129E"/>
    <w:rsid w:val="00663810"/>
    <w:rsid w:val="00664B81"/>
    <w:rsid w:val="00670190"/>
    <w:rsid w:val="006834EF"/>
    <w:rsid w:val="006952DB"/>
    <w:rsid w:val="00695CC6"/>
    <w:rsid w:val="00695E01"/>
    <w:rsid w:val="006965E9"/>
    <w:rsid w:val="006A2630"/>
    <w:rsid w:val="006A4C9B"/>
    <w:rsid w:val="006B2789"/>
    <w:rsid w:val="006B297E"/>
    <w:rsid w:val="006D618A"/>
    <w:rsid w:val="006E1F66"/>
    <w:rsid w:val="006E65B4"/>
    <w:rsid w:val="006F00F4"/>
    <w:rsid w:val="006F493F"/>
    <w:rsid w:val="00701101"/>
    <w:rsid w:val="00716724"/>
    <w:rsid w:val="00716E41"/>
    <w:rsid w:val="007240FD"/>
    <w:rsid w:val="007269DF"/>
    <w:rsid w:val="007343B8"/>
    <w:rsid w:val="007345B1"/>
    <w:rsid w:val="007557C4"/>
    <w:rsid w:val="007610E7"/>
    <w:rsid w:val="0076345F"/>
    <w:rsid w:val="00771059"/>
    <w:rsid w:val="00772E4C"/>
    <w:rsid w:val="00776150"/>
    <w:rsid w:val="00782EC3"/>
    <w:rsid w:val="00783D4E"/>
    <w:rsid w:val="007A7CB0"/>
    <w:rsid w:val="007B2CC9"/>
    <w:rsid w:val="007B4DF7"/>
    <w:rsid w:val="007C6F2F"/>
    <w:rsid w:val="007D0402"/>
    <w:rsid w:val="007D08FF"/>
    <w:rsid w:val="007D72D2"/>
    <w:rsid w:val="007E0869"/>
    <w:rsid w:val="007E14DF"/>
    <w:rsid w:val="007E16A1"/>
    <w:rsid w:val="007E16A5"/>
    <w:rsid w:val="007E1D41"/>
    <w:rsid w:val="007E1FCA"/>
    <w:rsid w:val="007E6ACF"/>
    <w:rsid w:val="007F3240"/>
    <w:rsid w:val="007F37FA"/>
    <w:rsid w:val="007F4AFD"/>
    <w:rsid w:val="00801D7C"/>
    <w:rsid w:val="0080352A"/>
    <w:rsid w:val="00807747"/>
    <w:rsid w:val="00811784"/>
    <w:rsid w:val="00821AB0"/>
    <w:rsid w:val="00822ADF"/>
    <w:rsid w:val="00827382"/>
    <w:rsid w:val="00837D78"/>
    <w:rsid w:val="00841D5E"/>
    <w:rsid w:val="00844B76"/>
    <w:rsid w:val="00847F70"/>
    <w:rsid w:val="00856FFA"/>
    <w:rsid w:val="00862F4B"/>
    <w:rsid w:val="00865D0D"/>
    <w:rsid w:val="00870273"/>
    <w:rsid w:val="00871142"/>
    <w:rsid w:val="008722EB"/>
    <w:rsid w:val="00872A56"/>
    <w:rsid w:val="0088120A"/>
    <w:rsid w:val="00885194"/>
    <w:rsid w:val="00891307"/>
    <w:rsid w:val="008B010E"/>
    <w:rsid w:val="008B1BBC"/>
    <w:rsid w:val="008B20E5"/>
    <w:rsid w:val="008B615D"/>
    <w:rsid w:val="008B774D"/>
    <w:rsid w:val="008B7C9C"/>
    <w:rsid w:val="008C3F77"/>
    <w:rsid w:val="008D05A3"/>
    <w:rsid w:val="008D70B1"/>
    <w:rsid w:val="008E7900"/>
    <w:rsid w:val="00900D14"/>
    <w:rsid w:val="00901B5E"/>
    <w:rsid w:val="00901EAC"/>
    <w:rsid w:val="00911CA9"/>
    <w:rsid w:val="00913D4F"/>
    <w:rsid w:val="00916EE0"/>
    <w:rsid w:val="009224D3"/>
    <w:rsid w:val="009321BA"/>
    <w:rsid w:val="00935040"/>
    <w:rsid w:val="009355F0"/>
    <w:rsid w:val="00942F74"/>
    <w:rsid w:val="0095693A"/>
    <w:rsid w:val="00957B37"/>
    <w:rsid w:val="00961D74"/>
    <w:rsid w:val="00970B9F"/>
    <w:rsid w:val="00982CBE"/>
    <w:rsid w:val="00983D94"/>
    <w:rsid w:val="009858D4"/>
    <w:rsid w:val="009974A1"/>
    <w:rsid w:val="009A0F32"/>
    <w:rsid w:val="009B2014"/>
    <w:rsid w:val="009B35F7"/>
    <w:rsid w:val="009B7386"/>
    <w:rsid w:val="009C43A6"/>
    <w:rsid w:val="009C6E39"/>
    <w:rsid w:val="009E1B95"/>
    <w:rsid w:val="009E3BBE"/>
    <w:rsid w:val="009E4DDC"/>
    <w:rsid w:val="00A00F0F"/>
    <w:rsid w:val="00A1415F"/>
    <w:rsid w:val="00A17418"/>
    <w:rsid w:val="00A17B63"/>
    <w:rsid w:val="00A30574"/>
    <w:rsid w:val="00A41424"/>
    <w:rsid w:val="00A4289E"/>
    <w:rsid w:val="00A502F5"/>
    <w:rsid w:val="00A650FF"/>
    <w:rsid w:val="00A8050D"/>
    <w:rsid w:val="00A810A1"/>
    <w:rsid w:val="00A81858"/>
    <w:rsid w:val="00A86992"/>
    <w:rsid w:val="00AA07F1"/>
    <w:rsid w:val="00AA23AE"/>
    <w:rsid w:val="00AA2459"/>
    <w:rsid w:val="00AA4C76"/>
    <w:rsid w:val="00AB090E"/>
    <w:rsid w:val="00AB1F60"/>
    <w:rsid w:val="00AC1F98"/>
    <w:rsid w:val="00AD4B60"/>
    <w:rsid w:val="00AD4EBE"/>
    <w:rsid w:val="00AE5776"/>
    <w:rsid w:val="00AF32A5"/>
    <w:rsid w:val="00AF6E5F"/>
    <w:rsid w:val="00B000DB"/>
    <w:rsid w:val="00B069C9"/>
    <w:rsid w:val="00B06BD8"/>
    <w:rsid w:val="00B11F40"/>
    <w:rsid w:val="00B2084D"/>
    <w:rsid w:val="00B352A9"/>
    <w:rsid w:val="00B36020"/>
    <w:rsid w:val="00B361C1"/>
    <w:rsid w:val="00B60404"/>
    <w:rsid w:val="00B617B7"/>
    <w:rsid w:val="00B642FF"/>
    <w:rsid w:val="00B758A4"/>
    <w:rsid w:val="00B77A83"/>
    <w:rsid w:val="00B80AC1"/>
    <w:rsid w:val="00B8295B"/>
    <w:rsid w:val="00B84698"/>
    <w:rsid w:val="00B86B10"/>
    <w:rsid w:val="00BA040E"/>
    <w:rsid w:val="00BA070D"/>
    <w:rsid w:val="00BB2012"/>
    <w:rsid w:val="00BB2C15"/>
    <w:rsid w:val="00BB3A77"/>
    <w:rsid w:val="00BE3635"/>
    <w:rsid w:val="00BF1831"/>
    <w:rsid w:val="00BF2B1A"/>
    <w:rsid w:val="00C13337"/>
    <w:rsid w:val="00C30FD9"/>
    <w:rsid w:val="00C351F5"/>
    <w:rsid w:val="00C52758"/>
    <w:rsid w:val="00C611D8"/>
    <w:rsid w:val="00C626D8"/>
    <w:rsid w:val="00C6648E"/>
    <w:rsid w:val="00C7614E"/>
    <w:rsid w:val="00C806F2"/>
    <w:rsid w:val="00C808AD"/>
    <w:rsid w:val="00C846DC"/>
    <w:rsid w:val="00C92885"/>
    <w:rsid w:val="00C93557"/>
    <w:rsid w:val="00C97047"/>
    <w:rsid w:val="00CA073B"/>
    <w:rsid w:val="00CA39C7"/>
    <w:rsid w:val="00CB7386"/>
    <w:rsid w:val="00CC17F9"/>
    <w:rsid w:val="00CC6A21"/>
    <w:rsid w:val="00CD6A55"/>
    <w:rsid w:val="00CE124E"/>
    <w:rsid w:val="00CE29F5"/>
    <w:rsid w:val="00CE5CB7"/>
    <w:rsid w:val="00CF7052"/>
    <w:rsid w:val="00D01860"/>
    <w:rsid w:val="00D03211"/>
    <w:rsid w:val="00D243AC"/>
    <w:rsid w:val="00D262DE"/>
    <w:rsid w:val="00D30F5A"/>
    <w:rsid w:val="00D32487"/>
    <w:rsid w:val="00D41C6D"/>
    <w:rsid w:val="00D43631"/>
    <w:rsid w:val="00D4578D"/>
    <w:rsid w:val="00D45F89"/>
    <w:rsid w:val="00D56BC9"/>
    <w:rsid w:val="00D60EED"/>
    <w:rsid w:val="00D713A5"/>
    <w:rsid w:val="00D80EB1"/>
    <w:rsid w:val="00D83697"/>
    <w:rsid w:val="00D8451A"/>
    <w:rsid w:val="00D85C7F"/>
    <w:rsid w:val="00D8685A"/>
    <w:rsid w:val="00DA6FC4"/>
    <w:rsid w:val="00DB40AA"/>
    <w:rsid w:val="00DB5BF4"/>
    <w:rsid w:val="00DC3656"/>
    <w:rsid w:val="00DC3893"/>
    <w:rsid w:val="00DC4456"/>
    <w:rsid w:val="00DC5837"/>
    <w:rsid w:val="00DC67A7"/>
    <w:rsid w:val="00DC7992"/>
    <w:rsid w:val="00DE3141"/>
    <w:rsid w:val="00DE4333"/>
    <w:rsid w:val="00DE4B5A"/>
    <w:rsid w:val="00DE6412"/>
    <w:rsid w:val="00DF6929"/>
    <w:rsid w:val="00E066FD"/>
    <w:rsid w:val="00E10C8C"/>
    <w:rsid w:val="00E27D77"/>
    <w:rsid w:val="00E30825"/>
    <w:rsid w:val="00E30C88"/>
    <w:rsid w:val="00E31630"/>
    <w:rsid w:val="00E32308"/>
    <w:rsid w:val="00E3252D"/>
    <w:rsid w:val="00E52383"/>
    <w:rsid w:val="00E76FF7"/>
    <w:rsid w:val="00E82DF9"/>
    <w:rsid w:val="00E843E1"/>
    <w:rsid w:val="00E94BC3"/>
    <w:rsid w:val="00E97321"/>
    <w:rsid w:val="00EA0590"/>
    <w:rsid w:val="00EA1B16"/>
    <w:rsid w:val="00EA4422"/>
    <w:rsid w:val="00EA6BFF"/>
    <w:rsid w:val="00EA7C97"/>
    <w:rsid w:val="00EC0EAE"/>
    <w:rsid w:val="00ED4565"/>
    <w:rsid w:val="00ED4966"/>
    <w:rsid w:val="00EE2189"/>
    <w:rsid w:val="00EE6C29"/>
    <w:rsid w:val="00EF4B28"/>
    <w:rsid w:val="00EF630C"/>
    <w:rsid w:val="00F00BE7"/>
    <w:rsid w:val="00F07683"/>
    <w:rsid w:val="00F1448F"/>
    <w:rsid w:val="00F1733C"/>
    <w:rsid w:val="00F20353"/>
    <w:rsid w:val="00F20A8B"/>
    <w:rsid w:val="00F26954"/>
    <w:rsid w:val="00F416D6"/>
    <w:rsid w:val="00F417EE"/>
    <w:rsid w:val="00F451B6"/>
    <w:rsid w:val="00F566DA"/>
    <w:rsid w:val="00F66828"/>
    <w:rsid w:val="00F8039E"/>
    <w:rsid w:val="00F81403"/>
    <w:rsid w:val="00F82264"/>
    <w:rsid w:val="00F9166A"/>
    <w:rsid w:val="00F93B76"/>
    <w:rsid w:val="00FA23CD"/>
    <w:rsid w:val="00FA29A3"/>
    <w:rsid w:val="00FA5188"/>
    <w:rsid w:val="00FA5EE6"/>
    <w:rsid w:val="00FB01DA"/>
    <w:rsid w:val="00FB05F2"/>
    <w:rsid w:val="00FB35AD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A166"/>
  <w15:chartTrackingRefBased/>
  <w15:docId w15:val="{824CE55E-C4EE-40FA-8ACA-C244EC680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bs.rs/scripts/cobiss?ukaz=SEAL&amp;mode=5&amp;id=0058443727974153&amp;PF=CB&amp;term=%22Me%C4%91unarodni%20simpozijum%20Dramsko%20delo%20Branislava%20Nu%C5%A1i%C4%87a%20-%20tradicija%20i%20s%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Korisnik</cp:lastModifiedBy>
  <cp:revision>2</cp:revision>
  <dcterms:created xsi:type="dcterms:W3CDTF">2021-01-22T09:33:00Z</dcterms:created>
  <dcterms:modified xsi:type="dcterms:W3CDTF">2021-01-22T09:33:00Z</dcterms:modified>
</cp:coreProperties>
</file>